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903" w:rsidRDefault="00ED4771">
      <w:pPr>
        <w:tabs>
          <w:tab w:val="left" w:pos="-15309"/>
          <w:tab w:val="left" w:pos="-5103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Филиал ПАО «Россети Центр и Приволжье» - «Тулэнерго»</w:t>
      </w:r>
    </w:p>
    <w:p w:rsidR="00DF3903" w:rsidRDefault="00DF3903">
      <w:pPr>
        <w:ind w:left="4820"/>
        <w:rPr>
          <w:sz w:val="24"/>
          <w:szCs w:val="24"/>
        </w:rPr>
      </w:pPr>
    </w:p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</w:tc>
      </w:tr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директора -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филиала ПАО 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«Россети Центр и Приволжье»-«Тулэнерго»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по инвестиционной деятельности филиала ПАО 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«Россети Центр и Приволжье»-«Тулэнерго»</w:t>
            </w:r>
          </w:p>
        </w:tc>
      </w:tr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_______________________/</w:t>
            </w:r>
            <w:r>
              <w:rPr>
                <w:sz w:val="24"/>
                <w:szCs w:val="24"/>
                <w:u w:val="single"/>
              </w:rPr>
              <w:t xml:space="preserve"> С.Ю. Захаров</w:t>
            </w:r>
            <w:r>
              <w:rPr>
                <w:sz w:val="24"/>
                <w:szCs w:val="24"/>
              </w:rPr>
              <w:t>/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___/</w:t>
            </w:r>
            <w:r>
              <w:rPr>
                <w:sz w:val="24"/>
                <w:szCs w:val="24"/>
                <w:u w:val="single"/>
              </w:rPr>
              <w:t>Д.В. Малыгин</w:t>
            </w:r>
            <w:r>
              <w:rPr>
                <w:sz w:val="24"/>
                <w:szCs w:val="24"/>
              </w:rPr>
              <w:t>/</w:t>
            </w:r>
          </w:p>
        </w:tc>
      </w:tr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"______"_____________________2026 г.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"______"________________________2026 г.</w:t>
            </w:r>
          </w:p>
        </w:tc>
      </w:tr>
    </w:tbl>
    <w:p w:rsidR="00DF3903" w:rsidRDefault="00DF3903">
      <w:pPr>
        <w:pStyle w:val="210"/>
        <w:rPr>
          <w:szCs w:val="24"/>
        </w:rPr>
      </w:pPr>
    </w:p>
    <w:p w:rsidR="00DF3903" w:rsidRDefault="00DF3903">
      <w:pPr>
        <w:tabs>
          <w:tab w:val="left" w:pos="-15309"/>
          <w:tab w:val="left" w:pos="-5103"/>
          <w:tab w:val="left" w:pos="851"/>
        </w:tabs>
        <w:ind w:hanging="284"/>
        <w:rPr>
          <w:b/>
          <w:sz w:val="24"/>
          <w:szCs w:val="24"/>
        </w:rPr>
      </w:pPr>
    </w:p>
    <w:tbl>
      <w:tblPr>
        <w:tblpPr w:leftFromText="180" w:rightFromText="180" w:vertAnchor="page" w:horzAnchor="margin" w:tblpY="4801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</w:tc>
      </w:tr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директора -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диспетчер Филиала АО «СО ЕЭС» 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Тульское РДУ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272D3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D4771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 xml:space="preserve"> по развитию сети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филиала ПАО «Россети» - </w:t>
            </w:r>
            <w:r w:rsidR="00272D3C">
              <w:rPr>
                <w:sz w:val="24"/>
                <w:szCs w:val="24"/>
              </w:rPr>
              <w:t>МЭС Центр</w:t>
            </w:r>
          </w:p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_______________________/</w:t>
            </w:r>
            <w:r>
              <w:rPr>
                <w:sz w:val="24"/>
                <w:szCs w:val="24"/>
                <w:u w:val="single"/>
              </w:rPr>
              <w:t>А.А. Голышев</w:t>
            </w:r>
            <w:r>
              <w:rPr>
                <w:sz w:val="24"/>
                <w:szCs w:val="24"/>
              </w:rPr>
              <w:t>/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 w:rsidP="00272D3C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_______________________/</w:t>
            </w:r>
            <w:r w:rsidR="00272D3C">
              <w:rPr>
                <w:sz w:val="24"/>
                <w:szCs w:val="24"/>
                <w:u w:val="single"/>
              </w:rPr>
              <w:t>Ф</w:t>
            </w:r>
            <w:r>
              <w:rPr>
                <w:sz w:val="24"/>
                <w:szCs w:val="24"/>
                <w:u w:val="single"/>
              </w:rPr>
              <w:t>.</w:t>
            </w:r>
            <w:r w:rsidR="00272D3C">
              <w:rPr>
                <w:sz w:val="24"/>
                <w:szCs w:val="24"/>
                <w:u w:val="single"/>
              </w:rPr>
              <w:t>П</w:t>
            </w:r>
            <w:r>
              <w:rPr>
                <w:sz w:val="24"/>
                <w:szCs w:val="24"/>
                <w:u w:val="single"/>
              </w:rPr>
              <w:t xml:space="preserve">. </w:t>
            </w:r>
            <w:r w:rsidR="00272D3C">
              <w:rPr>
                <w:sz w:val="24"/>
                <w:szCs w:val="24"/>
                <w:u w:val="single"/>
              </w:rPr>
              <w:t>Зорин</w:t>
            </w:r>
            <w:r>
              <w:rPr>
                <w:sz w:val="24"/>
                <w:szCs w:val="24"/>
              </w:rPr>
              <w:t>/</w:t>
            </w:r>
          </w:p>
        </w:tc>
      </w:tr>
      <w:tr w:rsidR="00DF3903">
        <w:tc>
          <w:tcPr>
            <w:tcW w:w="4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"______"________________________2026 г.</w:t>
            </w:r>
          </w:p>
        </w:tc>
        <w:tc>
          <w:tcPr>
            <w:tcW w:w="5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sz w:val="24"/>
                <w:szCs w:val="24"/>
              </w:rPr>
            </w:pP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"______"________________________2026 г.</w:t>
            </w:r>
          </w:p>
        </w:tc>
      </w:tr>
    </w:tbl>
    <w:p w:rsidR="00DF3903" w:rsidRDefault="00DF3903">
      <w:pPr>
        <w:pStyle w:val="aff0"/>
        <w:tabs>
          <w:tab w:val="left" w:pos="993"/>
        </w:tabs>
        <w:ind w:left="0"/>
        <w:rPr>
          <w:sz w:val="24"/>
          <w:szCs w:val="24"/>
        </w:rPr>
      </w:pPr>
    </w:p>
    <w:p w:rsidR="00DF3903" w:rsidRDefault="00DF3903">
      <w:pPr>
        <w:pStyle w:val="aff0"/>
        <w:tabs>
          <w:tab w:val="left" w:pos="993"/>
        </w:tabs>
        <w:ind w:left="0"/>
        <w:rPr>
          <w:sz w:val="24"/>
          <w:szCs w:val="24"/>
        </w:rPr>
      </w:pPr>
    </w:p>
    <w:p w:rsidR="00DF3903" w:rsidRDefault="00DF3903">
      <w:pPr>
        <w:pStyle w:val="aff0"/>
        <w:tabs>
          <w:tab w:val="left" w:pos="993"/>
        </w:tabs>
        <w:ind w:left="0"/>
        <w:rPr>
          <w:sz w:val="24"/>
          <w:szCs w:val="24"/>
        </w:rPr>
      </w:pPr>
    </w:p>
    <w:p w:rsidR="00DF3903" w:rsidRDefault="00ED4771" w:rsidP="00806308">
      <w:pPr>
        <w:pStyle w:val="aff0"/>
        <w:tabs>
          <w:tab w:val="left" w:pos="993"/>
        </w:tabs>
        <w:spacing w:after="0"/>
        <w:ind w:left="0" w:hanging="142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 ТЗ/71/2025/156</w:t>
      </w:r>
    </w:p>
    <w:p w:rsidR="00DF3903" w:rsidRDefault="00ED4771" w:rsidP="00806308">
      <w:pPr>
        <w:pStyle w:val="aff0"/>
        <w:tabs>
          <w:tab w:val="left" w:pos="993"/>
        </w:tabs>
        <w:spacing w:after="0"/>
        <w:ind w:left="-142"/>
        <w:jc w:val="center"/>
        <w:rPr>
          <w:sz w:val="24"/>
          <w:szCs w:val="24"/>
        </w:rPr>
      </w:pPr>
      <w:r>
        <w:rPr>
          <w:sz w:val="24"/>
          <w:szCs w:val="24"/>
        </w:rPr>
        <w:t>на выполнение работ по проектированию объекта:</w:t>
      </w:r>
    </w:p>
    <w:p w:rsidR="00DF3903" w:rsidRDefault="00ED4771" w:rsidP="00806308">
      <w:pPr>
        <w:pStyle w:val="aff0"/>
        <w:spacing w:after="0" w:line="276" w:lineRule="auto"/>
        <w:ind w:left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</w:rPr>
        <w:t>«Реконструкция ПС 110 кВ Кировская, ПС 110 кВ Щегловская, ПС 110 кВ Стечкин с оснащением центров питания 110-220 кВ устройствами РЗА и АОПО»</w:t>
      </w:r>
      <w:r>
        <w:rPr>
          <w:sz w:val="24"/>
          <w:szCs w:val="24"/>
        </w:rPr>
        <w:br/>
        <w:t>для обеспечения технологического присоединения энергопринимающих устройств заявителей по договорам об осуществлении технологического присоединения к электрическим сетям филиала ПАО «Россети Центр и Приволжье» - «Тулэнерго»</w:t>
      </w: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DF3903" w:rsidRDefault="00DF3903">
      <w:pPr>
        <w:rPr>
          <w:sz w:val="24"/>
          <w:szCs w:val="24"/>
        </w:rPr>
      </w:pPr>
    </w:p>
    <w:p w:rsidR="00272D3C" w:rsidRDefault="00272D3C">
      <w:pPr>
        <w:jc w:val="center"/>
        <w:rPr>
          <w:sz w:val="24"/>
          <w:szCs w:val="24"/>
          <w:lang w:eastAsia="ar-SA"/>
        </w:rPr>
      </w:pPr>
    </w:p>
    <w:p w:rsidR="00DF3903" w:rsidRDefault="00ED4771">
      <w:pPr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г. Тула 2026 г.</w:t>
      </w:r>
    </w:p>
    <w:p w:rsidR="00863A42" w:rsidRDefault="00863A42">
      <w:pPr>
        <w:jc w:val="center"/>
        <w:rPr>
          <w:sz w:val="24"/>
          <w:szCs w:val="24"/>
          <w:lang w:eastAsia="ar-SA"/>
        </w:rPr>
      </w:pPr>
    </w:p>
    <w:p w:rsidR="00DF3903" w:rsidRDefault="00ED4771">
      <w:pPr>
        <w:pStyle w:val="aff0"/>
        <w:widowControl/>
        <w:numPr>
          <w:ilvl w:val="0"/>
          <w:numId w:val="11"/>
        </w:numPr>
        <w:tabs>
          <w:tab w:val="left" w:pos="993"/>
        </w:tabs>
        <w:spacing w:after="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Основание выполнения работ</w:t>
      </w:r>
      <w:r w:rsidR="00863A42">
        <w:rPr>
          <w:b/>
          <w:sz w:val="24"/>
          <w:szCs w:val="24"/>
        </w:rPr>
        <w:t>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Исполнение мероприятий сетевой организации по договорам технологического присоединения к сетям филиала ПАО «Россети Центр и Приволжье» – «Тулэнерго»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  <w:lang w:eastAsia="ru-RU"/>
        </w:rPr>
        <w:t>711117108 от 01.04.2024 (Авилушкина О.В.), №711004609 от 22.09.2017 (АО «Тулачермет»), №11087028 от 20.07.2022 (АО «СЗ «Внешстрой»).</w:t>
      </w:r>
    </w:p>
    <w:p w:rsidR="00DF3903" w:rsidRDefault="00ED4771">
      <w:pPr>
        <w:pStyle w:val="aff0"/>
        <w:widowControl/>
        <w:numPr>
          <w:ilvl w:val="0"/>
          <w:numId w:val="11"/>
        </w:numPr>
        <w:tabs>
          <w:tab w:val="clear" w:pos="1730"/>
          <w:tab w:val="num" w:pos="710"/>
          <w:tab w:val="left" w:pos="993"/>
        </w:tabs>
        <w:spacing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нормативно-технические документы (НТД), определяющие требования к строительству подстанции.</w:t>
      </w:r>
    </w:p>
    <w:p w:rsidR="00DF3903" w:rsidRDefault="00ED4771">
      <w:pPr>
        <w:tabs>
          <w:tab w:val="left" w:pos="-4680"/>
          <w:tab w:val="left" w:pos="1080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НТД указаны в приложении №1 к ТЗ.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DF3903" w:rsidRDefault="00ED4771">
      <w:pPr>
        <w:pStyle w:val="aff0"/>
        <w:widowControl/>
        <w:numPr>
          <w:ilvl w:val="0"/>
          <w:numId w:val="11"/>
        </w:numPr>
        <w:tabs>
          <w:tab w:val="left" w:pos="993"/>
        </w:tabs>
        <w:spacing w:before="120"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Объемы мероприятий.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Оснащение центров питания 110-220 кВ устройствами РЗА и автоматики ограничения перегрузки оборудования (далее – АОПО) с управляющим воздействием на отключение нагрузки заявителей с учетом решений по пункту </w:t>
      </w:r>
      <w:r w:rsidRPr="00724EFC">
        <w:rPr>
          <w:bCs/>
          <w:iCs/>
          <w:sz w:val="24"/>
          <w:szCs w:val="24"/>
          <w:lang w:eastAsia="ar-SA"/>
        </w:rPr>
        <w:t>6.3.1.2 ТЗ</w:t>
      </w:r>
      <w:r w:rsidR="00A032D6">
        <w:rPr>
          <w:bCs/>
          <w:iCs/>
          <w:sz w:val="24"/>
          <w:szCs w:val="24"/>
          <w:lang w:eastAsia="ar-SA"/>
        </w:rPr>
        <w:t>, а также на основании ведомости объемов работ, указанных в приложении 8 к настоящему ТЗ</w:t>
      </w:r>
      <w:r>
        <w:rPr>
          <w:bCs/>
          <w:iCs/>
          <w:sz w:val="24"/>
          <w:szCs w:val="24"/>
          <w:lang w:eastAsia="ar-SA"/>
        </w:rPr>
        <w:t>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Проектом определить необходимость создания (замены, модернизации) на центрах питания </w:t>
      </w:r>
      <w:r w:rsidR="00AA6A1E" w:rsidRPr="00AA6A1E">
        <w:rPr>
          <w:sz w:val="24"/>
          <w:szCs w:val="24"/>
        </w:rPr>
        <w:t>(</w:t>
      </w:r>
      <w:r w:rsidR="00AA6A1E">
        <w:rPr>
          <w:sz w:val="24"/>
          <w:szCs w:val="24"/>
        </w:rPr>
        <w:t xml:space="preserve">ПС </w:t>
      </w:r>
      <w:r w:rsidR="00863A42">
        <w:rPr>
          <w:sz w:val="24"/>
          <w:szCs w:val="24"/>
        </w:rPr>
        <w:t xml:space="preserve">110 кВ </w:t>
      </w:r>
      <w:r w:rsidR="00AA6A1E">
        <w:rPr>
          <w:sz w:val="24"/>
          <w:szCs w:val="24"/>
        </w:rPr>
        <w:t>Щегловская, ПС</w:t>
      </w:r>
      <w:r w:rsidR="00863A42">
        <w:rPr>
          <w:sz w:val="24"/>
          <w:szCs w:val="24"/>
        </w:rPr>
        <w:t xml:space="preserve"> 110 кВ </w:t>
      </w:r>
      <w:r w:rsidR="00AA6A1E">
        <w:rPr>
          <w:sz w:val="24"/>
          <w:szCs w:val="24"/>
        </w:rPr>
        <w:t>Кировская</w:t>
      </w:r>
      <w:r w:rsidR="00AA6A1E" w:rsidRPr="00AA6A1E">
        <w:rPr>
          <w:sz w:val="24"/>
          <w:szCs w:val="24"/>
        </w:rPr>
        <w:t>)</w:t>
      </w:r>
      <w:r w:rsidR="00AA6A1E">
        <w:rPr>
          <w:sz w:val="24"/>
          <w:szCs w:val="24"/>
        </w:rPr>
        <w:t xml:space="preserve"> </w:t>
      </w:r>
      <w:r>
        <w:rPr>
          <w:sz w:val="24"/>
          <w:szCs w:val="24"/>
        </w:rPr>
        <w:t>систем сбора и передачи информации в Филиал АО «СО ЕЭС» Тульское РДУ (далее – Тульское РДУ) и ЦУС Тулэнерго</w:t>
      </w:r>
      <w:r w:rsidR="00B014AD">
        <w:rPr>
          <w:sz w:val="24"/>
          <w:szCs w:val="24"/>
        </w:rPr>
        <w:t xml:space="preserve"> (</w:t>
      </w:r>
      <w:r w:rsidR="00BD60A2">
        <w:rPr>
          <w:sz w:val="24"/>
          <w:szCs w:val="24"/>
        </w:rPr>
        <w:t xml:space="preserve">в проекте уточнить необходимость модернизации существующего </w:t>
      </w:r>
      <w:r w:rsidR="00B014AD">
        <w:rPr>
          <w:sz w:val="24"/>
          <w:szCs w:val="24"/>
        </w:rPr>
        <w:t xml:space="preserve">ССПИ на ПС </w:t>
      </w:r>
      <w:r w:rsidR="00863A42">
        <w:rPr>
          <w:sz w:val="24"/>
          <w:szCs w:val="24"/>
        </w:rPr>
        <w:t xml:space="preserve">110 кВ </w:t>
      </w:r>
      <w:r w:rsidR="00B014AD">
        <w:rPr>
          <w:sz w:val="24"/>
          <w:szCs w:val="24"/>
        </w:rPr>
        <w:t xml:space="preserve">Щегловская, ПС </w:t>
      </w:r>
      <w:r w:rsidR="00863A42">
        <w:rPr>
          <w:sz w:val="24"/>
          <w:szCs w:val="24"/>
        </w:rPr>
        <w:t xml:space="preserve">110 кВ </w:t>
      </w:r>
      <w:r w:rsidR="00B014AD">
        <w:rPr>
          <w:sz w:val="24"/>
          <w:szCs w:val="24"/>
        </w:rPr>
        <w:t>Кировская)</w:t>
      </w:r>
      <w:r>
        <w:rPr>
          <w:sz w:val="24"/>
          <w:szCs w:val="24"/>
        </w:rPr>
        <w:t>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Выполнить установку на ПС 110 кВ Кировская АОПО ВЛ 110 кВ Кировская – Металлургическая с отпайкой на ПС 110 кВ Криволучье с управляющим воздействием на отключение нагрузки </w:t>
      </w:r>
      <w:r w:rsidR="00E15F93">
        <w:rPr>
          <w:sz w:val="24"/>
          <w:szCs w:val="24"/>
        </w:rPr>
        <w:t>заявителя</w:t>
      </w:r>
      <w:r w:rsidR="00540EC7">
        <w:rPr>
          <w:sz w:val="24"/>
          <w:szCs w:val="24"/>
        </w:rPr>
        <w:t xml:space="preserve"> </w:t>
      </w:r>
      <w:r w:rsidR="00540EC7">
        <w:rPr>
          <w:sz w:val="24"/>
          <w:szCs w:val="24"/>
          <w:lang w:eastAsia="ru-RU"/>
        </w:rPr>
        <w:t>(АО «Тулачермет»)</w:t>
      </w:r>
      <w:r>
        <w:rPr>
          <w:sz w:val="24"/>
          <w:szCs w:val="24"/>
        </w:rPr>
        <w:t>, в том числе:</w:t>
      </w:r>
    </w:p>
    <w:p w:rsidR="00DF3903" w:rsidRDefault="00ED4771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на ПС 110 кВ Кировская передатчик УПАСК;</w:t>
      </w:r>
    </w:p>
    <w:p w:rsidR="00DF3903" w:rsidRDefault="00ED4771">
      <w:pPr>
        <w:pStyle w:val="aff0"/>
        <w:widowControl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971D2">
        <w:rPr>
          <w:sz w:val="24"/>
          <w:szCs w:val="24"/>
        </w:rPr>
        <w:t xml:space="preserve">организовать </w:t>
      </w:r>
      <w:r>
        <w:rPr>
          <w:sz w:val="24"/>
          <w:szCs w:val="24"/>
        </w:rPr>
        <w:t xml:space="preserve">каналы связи </w:t>
      </w:r>
      <w:r w:rsidR="00AA6A1E">
        <w:rPr>
          <w:sz w:val="24"/>
          <w:szCs w:val="24"/>
        </w:rPr>
        <w:t xml:space="preserve">ПА </w:t>
      </w:r>
      <w:r>
        <w:rPr>
          <w:sz w:val="24"/>
          <w:szCs w:val="24"/>
        </w:rPr>
        <w:t xml:space="preserve">в соответствии с </w:t>
      </w:r>
      <w:r w:rsidR="00E15F93">
        <w:rPr>
          <w:sz w:val="24"/>
          <w:szCs w:val="24"/>
        </w:rPr>
        <w:t xml:space="preserve">приложением 7 к ТЗ </w:t>
      </w:r>
      <w:r>
        <w:rPr>
          <w:sz w:val="24"/>
          <w:szCs w:val="24"/>
        </w:rPr>
        <w:t xml:space="preserve">в объеме, </w:t>
      </w:r>
      <w:r w:rsidR="00E15F93">
        <w:rPr>
          <w:sz w:val="24"/>
          <w:szCs w:val="24"/>
        </w:rPr>
        <w:t xml:space="preserve">необходимом </w:t>
      </w:r>
      <w:r>
        <w:rPr>
          <w:sz w:val="24"/>
          <w:szCs w:val="24"/>
        </w:rPr>
        <w:t>для работы АОПО (объем работ уточнить при проектировании).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Выполнить установку на ПС 110 кВ Щегловская АОПО КВЛ 110 кВ ТЭЦ Тулачермет – Щегловская с отпайкой ПС Криволучье </w:t>
      </w:r>
      <w:r w:rsidR="005E09B7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управляющим воздействием на отключение нагрузки </w:t>
      </w:r>
      <w:r w:rsidR="00540EC7">
        <w:rPr>
          <w:sz w:val="24"/>
          <w:szCs w:val="24"/>
        </w:rPr>
        <w:t xml:space="preserve">заявителя </w:t>
      </w:r>
      <w:r w:rsidR="00540EC7">
        <w:rPr>
          <w:sz w:val="24"/>
          <w:szCs w:val="24"/>
          <w:lang w:eastAsia="ru-RU"/>
        </w:rPr>
        <w:t>(АО «Тулачермет»)</w:t>
      </w:r>
      <w:r>
        <w:rPr>
          <w:sz w:val="24"/>
          <w:szCs w:val="24"/>
        </w:rPr>
        <w:t>, в том числе:</w:t>
      </w:r>
    </w:p>
    <w:p w:rsidR="00DF3903" w:rsidRDefault="00ED4771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на ПС 110 кВ Щегловская передатчик УПАСК;</w:t>
      </w:r>
    </w:p>
    <w:p w:rsidR="00DF3903" w:rsidRDefault="00ED4771" w:rsidP="00AA6A1E">
      <w:pPr>
        <w:pStyle w:val="aff0"/>
        <w:widowControl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4F47">
        <w:rPr>
          <w:sz w:val="24"/>
          <w:szCs w:val="24"/>
        </w:rPr>
        <w:t xml:space="preserve">организовать </w:t>
      </w:r>
      <w:r>
        <w:rPr>
          <w:sz w:val="24"/>
          <w:szCs w:val="24"/>
        </w:rPr>
        <w:t xml:space="preserve">каналы связи </w:t>
      </w:r>
      <w:r w:rsidR="00AA6A1E">
        <w:rPr>
          <w:sz w:val="24"/>
          <w:szCs w:val="24"/>
        </w:rPr>
        <w:t xml:space="preserve">ПА </w:t>
      </w:r>
      <w:r>
        <w:rPr>
          <w:sz w:val="24"/>
          <w:szCs w:val="24"/>
        </w:rPr>
        <w:t xml:space="preserve">в соответствии с </w:t>
      </w:r>
      <w:r w:rsidR="00E15F93">
        <w:rPr>
          <w:sz w:val="24"/>
          <w:szCs w:val="24"/>
        </w:rPr>
        <w:t>приложением 7 к ТЗ</w:t>
      </w:r>
      <w:r>
        <w:rPr>
          <w:sz w:val="24"/>
          <w:szCs w:val="24"/>
        </w:rPr>
        <w:t xml:space="preserve"> в объеме, </w:t>
      </w:r>
      <w:r w:rsidR="00E15F93">
        <w:rPr>
          <w:sz w:val="24"/>
          <w:szCs w:val="24"/>
        </w:rPr>
        <w:t xml:space="preserve">необходимом </w:t>
      </w:r>
      <w:r>
        <w:rPr>
          <w:sz w:val="24"/>
          <w:szCs w:val="24"/>
        </w:rPr>
        <w:t>для работы АОПО (объем работ уточнить при проектировании).</w:t>
      </w:r>
    </w:p>
    <w:p w:rsidR="00DF3903" w:rsidRDefault="003E4088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 w:rsidRPr="003E4088">
        <w:rPr>
          <w:sz w:val="24"/>
          <w:szCs w:val="24"/>
        </w:rPr>
        <w:t>При необходимости выполнить реконструкцию АОПО ВЛ 220 кВ Черепетская ГРЭС – Тула на ПС 220 кВ Тула с управляющими воздействиями на отключение нагрузки заявителей (АО «СЗ «Внешстрой», гр. Авилушкиной О.В.), в т.ч.</w:t>
      </w:r>
      <w:r w:rsidR="00ED4771">
        <w:rPr>
          <w:sz w:val="24"/>
          <w:szCs w:val="24"/>
        </w:rPr>
        <w:t>:</w:t>
      </w:r>
    </w:p>
    <w:p w:rsidR="00DF3903" w:rsidRDefault="00ED4771" w:rsidP="003E4088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на ПС 110 кВ Стечкин, ПС 110 кВ Красные ворота приемники УПАСК;</w:t>
      </w:r>
    </w:p>
    <w:p w:rsidR="00AD5A73" w:rsidRDefault="00AD5A73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5A73">
        <w:rPr>
          <w:sz w:val="24"/>
          <w:szCs w:val="24"/>
        </w:rPr>
        <w:t>установить новый или модернизировать существующий передатчик УПАСК на</w:t>
      </w:r>
      <w:r w:rsidRPr="00AD5A73">
        <w:rPr>
          <w:sz w:val="24"/>
          <w:szCs w:val="24"/>
        </w:rPr>
        <w:br/>
        <w:t>ПС 220 кВ Тула для передачи управляющего воздействия на КА ПС 110 кВ Стечкин, ПС</w:t>
      </w:r>
      <w:r w:rsidRPr="00AD5A73">
        <w:rPr>
          <w:sz w:val="24"/>
          <w:szCs w:val="24"/>
        </w:rPr>
        <w:br/>
        <w:t>110 кВ Красные ворота</w:t>
      </w:r>
      <w:r>
        <w:rPr>
          <w:sz w:val="24"/>
          <w:szCs w:val="24"/>
        </w:rPr>
        <w:t>;</w:t>
      </w:r>
    </w:p>
    <w:p w:rsidR="00DF3903" w:rsidRDefault="00ED4771" w:rsidP="00AA6A1E">
      <w:pPr>
        <w:pStyle w:val="aff0"/>
        <w:widowControl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D5A73">
        <w:rPr>
          <w:sz w:val="24"/>
          <w:szCs w:val="24"/>
        </w:rPr>
        <w:t xml:space="preserve">организовать </w:t>
      </w:r>
      <w:r>
        <w:rPr>
          <w:sz w:val="24"/>
          <w:szCs w:val="24"/>
        </w:rPr>
        <w:t xml:space="preserve">каналы связи </w:t>
      </w:r>
      <w:r w:rsidR="00AA6A1E">
        <w:rPr>
          <w:sz w:val="24"/>
          <w:szCs w:val="24"/>
        </w:rPr>
        <w:t xml:space="preserve">ПА </w:t>
      </w:r>
      <w:r>
        <w:rPr>
          <w:sz w:val="24"/>
          <w:szCs w:val="24"/>
        </w:rPr>
        <w:t xml:space="preserve">в соответствии с </w:t>
      </w:r>
      <w:r w:rsidR="00E15F93">
        <w:rPr>
          <w:sz w:val="24"/>
          <w:szCs w:val="24"/>
        </w:rPr>
        <w:t>приложением 7 к ТЗ</w:t>
      </w:r>
      <w:r>
        <w:rPr>
          <w:sz w:val="24"/>
          <w:szCs w:val="24"/>
        </w:rPr>
        <w:t xml:space="preserve"> в объеме, </w:t>
      </w:r>
      <w:r w:rsidR="00E15F93">
        <w:rPr>
          <w:sz w:val="24"/>
          <w:szCs w:val="24"/>
        </w:rPr>
        <w:t xml:space="preserve">необходимом </w:t>
      </w:r>
      <w:r>
        <w:rPr>
          <w:sz w:val="24"/>
          <w:szCs w:val="24"/>
        </w:rPr>
        <w:t>для работы АОПО (объем работ уточнить при проектировании).</w:t>
      </w:r>
    </w:p>
    <w:p w:rsidR="00DF3903" w:rsidRDefault="003E4088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 w:rsidRPr="003E4088">
        <w:rPr>
          <w:sz w:val="24"/>
          <w:szCs w:val="24"/>
          <w:lang w:bidi="ru-RU"/>
        </w:rPr>
        <w:lastRenderedPageBreak/>
        <w:t>При необходимости выполнить реконструкцию АОПО ВЛ 220 кВ Северная – Химическая на ПС 220 кВ Химическая с управляющими воздействиями на отключение нагрузки заявителей (АО «СЗ «Внешстрой», гр. Авилушкиной О.В.), в т.ч.</w:t>
      </w:r>
      <w:r w:rsidR="00ED4771">
        <w:rPr>
          <w:sz w:val="24"/>
          <w:szCs w:val="24"/>
        </w:rPr>
        <w:t>:</w:t>
      </w:r>
    </w:p>
    <w:p w:rsidR="00AA6A1E" w:rsidRDefault="00ED4771" w:rsidP="003646A9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на ПС 110 кВ Стечкин, ПС 110 кВ Красные ворота приемники УПАСК;</w:t>
      </w:r>
    </w:p>
    <w:p w:rsidR="00AD5A73" w:rsidRDefault="00AD5A73" w:rsidP="00AA6A1E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5A73">
        <w:rPr>
          <w:sz w:val="24"/>
          <w:szCs w:val="24"/>
        </w:rPr>
        <w:t>установить новый или модернизировать существующий передатчик УПАСК на</w:t>
      </w:r>
      <w:r w:rsidRPr="00AD5A73">
        <w:rPr>
          <w:sz w:val="24"/>
          <w:szCs w:val="24"/>
        </w:rPr>
        <w:br/>
        <w:t>ПС 220 кВ Химическая для передачи управляющего воздействия на КА ПС 110 кВ</w:t>
      </w:r>
      <w:r w:rsidRPr="00AD5A73">
        <w:rPr>
          <w:sz w:val="24"/>
          <w:szCs w:val="24"/>
        </w:rPr>
        <w:br/>
        <w:t>Стечкин, ПС 110 кВ Красные ворота</w:t>
      </w:r>
      <w:r>
        <w:rPr>
          <w:sz w:val="24"/>
          <w:szCs w:val="24"/>
        </w:rPr>
        <w:t>;</w:t>
      </w:r>
    </w:p>
    <w:p w:rsidR="00DF3903" w:rsidRDefault="00ED4771">
      <w:pPr>
        <w:pStyle w:val="aff0"/>
        <w:widowControl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D5A73">
        <w:rPr>
          <w:sz w:val="24"/>
          <w:szCs w:val="24"/>
        </w:rPr>
        <w:t xml:space="preserve">организовать </w:t>
      </w:r>
      <w:r>
        <w:rPr>
          <w:sz w:val="24"/>
          <w:szCs w:val="24"/>
        </w:rPr>
        <w:t xml:space="preserve">каналы связи </w:t>
      </w:r>
      <w:r w:rsidR="00AA6A1E">
        <w:rPr>
          <w:sz w:val="24"/>
          <w:szCs w:val="24"/>
        </w:rPr>
        <w:t xml:space="preserve">ПА </w:t>
      </w:r>
      <w:r>
        <w:rPr>
          <w:sz w:val="24"/>
          <w:szCs w:val="24"/>
        </w:rPr>
        <w:t xml:space="preserve">в соответствии с </w:t>
      </w:r>
      <w:r w:rsidR="00E15F93">
        <w:rPr>
          <w:sz w:val="24"/>
          <w:szCs w:val="24"/>
        </w:rPr>
        <w:t>приложением 7 к ТЗ</w:t>
      </w:r>
      <w:r>
        <w:rPr>
          <w:sz w:val="24"/>
          <w:szCs w:val="24"/>
        </w:rPr>
        <w:t xml:space="preserve"> в объеме, </w:t>
      </w:r>
      <w:r w:rsidR="00E15F93">
        <w:rPr>
          <w:sz w:val="24"/>
          <w:szCs w:val="24"/>
        </w:rPr>
        <w:t xml:space="preserve">необходимом </w:t>
      </w:r>
      <w:r>
        <w:rPr>
          <w:sz w:val="24"/>
          <w:szCs w:val="24"/>
        </w:rPr>
        <w:t>для работы АОПО (объем работ уточнить при проектировании).</w:t>
      </w:r>
    </w:p>
    <w:p w:rsidR="00DF3903" w:rsidRPr="003E4088" w:rsidRDefault="003E4088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 w:rsidRPr="003E4088">
        <w:rPr>
          <w:sz w:val="24"/>
          <w:szCs w:val="24"/>
          <w:lang w:bidi="ru-RU"/>
        </w:rPr>
        <w:t>Выполнить установку АОПО ВЛ 220 кВ Алексинская ТЭЦ – Ленинская на Алексинской ТЭЦ с управляющими воздействиями на отключение нагрузки заявителей (АО «СЗ «Внешстрой», гр. Авилушкиной О.В.), в т.ч.</w:t>
      </w:r>
      <w:r w:rsidR="00ED4771" w:rsidRPr="003E4088">
        <w:rPr>
          <w:sz w:val="24"/>
          <w:szCs w:val="24"/>
        </w:rPr>
        <w:t>:</w:t>
      </w:r>
    </w:p>
    <w:p w:rsidR="00DF3903" w:rsidRDefault="00ED4771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на ПС 110 кВ Стечкин, ПС 110 кВ Красные ворота приемники УПАСК;</w:t>
      </w:r>
    </w:p>
    <w:p w:rsidR="00EC2D22" w:rsidRDefault="00EC2D22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fontstyle01"/>
          <w:rFonts w:eastAsia="Arial"/>
        </w:rPr>
        <w:t>установить новый или модернизировать существующий передатчик УПАСК на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  <w:rFonts w:eastAsia="Arial"/>
        </w:rPr>
        <w:t>Алексинской ТЭЦ для передачи управляющего воздействия на КА ПС 110 кВ Стечкин,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  <w:rFonts w:eastAsia="Arial"/>
        </w:rPr>
        <w:t>ПС 110 кВ Красные ворота;</w:t>
      </w:r>
    </w:p>
    <w:p w:rsidR="00DF3903" w:rsidRDefault="00ED4771">
      <w:pPr>
        <w:pStyle w:val="aff0"/>
        <w:widowControl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2D22">
        <w:rPr>
          <w:sz w:val="24"/>
          <w:szCs w:val="24"/>
        </w:rPr>
        <w:t xml:space="preserve">организовать </w:t>
      </w:r>
      <w:r>
        <w:rPr>
          <w:sz w:val="24"/>
          <w:szCs w:val="24"/>
        </w:rPr>
        <w:t xml:space="preserve">каналы связи </w:t>
      </w:r>
      <w:r w:rsidR="00AA6A1E">
        <w:rPr>
          <w:sz w:val="24"/>
          <w:szCs w:val="24"/>
        </w:rPr>
        <w:t xml:space="preserve">ПА </w:t>
      </w:r>
      <w:r>
        <w:rPr>
          <w:sz w:val="24"/>
          <w:szCs w:val="24"/>
        </w:rPr>
        <w:t xml:space="preserve">в соответствии с </w:t>
      </w:r>
      <w:r w:rsidR="00E15F93">
        <w:rPr>
          <w:sz w:val="24"/>
          <w:szCs w:val="24"/>
        </w:rPr>
        <w:t>приложением 7 к ТЗ</w:t>
      </w:r>
      <w:r>
        <w:rPr>
          <w:sz w:val="24"/>
          <w:szCs w:val="24"/>
        </w:rPr>
        <w:t xml:space="preserve"> в объеме, </w:t>
      </w:r>
      <w:r w:rsidR="00E15F93">
        <w:rPr>
          <w:sz w:val="24"/>
          <w:szCs w:val="24"/>
        </w:rPr>
        <w:t xml:space="preserve">необходимом </w:t>
      </w:r>
      <w:r>
        <w:rPr>
          <w:sz w:val="24"/>
          <w:szCs w:val="24"/>
        </w:rPr>
        <w:t>для работы АОПО (объем работ уточнить при проектировании).</w:t>
      </w:r>
    </w:p>
    <w:p w:rsidR="00DF3903" w:rsidRPr="005924C3" w:rsidRDefault="003E4088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 w:rsidRPr="005924C3">
        <w:rPr>
          <w:sz w:val="24"/>
          <w:szCs w:val="24"/>
        </w:rPr>
        <w:t>Выполнить установку АОПО ВЛ 110 кВ Алексинская ТЭЦ – Пушкинская с отпайкой на ПС 110 кВ Авангард на Алексинской ТЭЦ с управляющими воздействиями на отключение нагрузки заявителей (АО «СЗ «Внешстрой», гр. Авилушкиной О.В.), в т.ч.</w:t>
      </w:r>
      <w:r w:rsidR="00ED4771" w:rsidRPr="005924C3">
        <w:rPr>
          <w:sz w:val="24"/>
          <w:szCs w:val="24"/>
        </w:rPr>
        <w:t>:</w:t>
      </w:r>
    </w:p>
    <w:p w:rsidR="00DF3903" w:rsidRDefault="00ED4771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на ПС 110 кВ Стечкин, ПС 110 кВ Красные ворота приемники УПАСК;</w:t>
      </w:r>
    </w:p>
    <w:p w:rsidR="00EC2D22" w:rsidRDefault="00EC2D22" w:rsidP="00AA6A1E">
      <w:pPr>
        <w:pStyle w:val="aff0"/>
        <w:widowControl/>
        <w:spacing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fontstyle01"/>
          <w:rFonts w:eastAsia="Arial"/>
        </w:rPr>
        <w:t>установить новый или модернизировать существующий передатчика УПАСК на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  <w:rFonts w:eastAsia="Arial"/>
        </w:rPr>
        <w:t>Алексинской ТЭЦ для передачи управляющего воздействия на КА ПС 110 кВ Стечкин,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  <w:rFonts w:eastAsia="Arial"/>
        </w:rPr>
        <w:t>ПС 110 кВ Красные ворота;</w:t>
      </w:r>
    </w:p>
    <w:p w:rsidR="00DF3903" w:rsidRDefault="00ED4771" w:rsidP="00806308">
      <w:pPr>
        <w:pStyle w:val="aff0"/>
        <w:widowControl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2D22">
        <w:rPr>
          <w:sz w:val="24"/>
          <w:szCs w:val="24"/>
        </w:rPr>
        <w:t xml:space="preserve">организовать </w:t>
      </w:r>
      <w:r>
        <w:rPr>
          <w:sz w:val="24"/>
          <w:szCs w:val="24"/>
        </w:rPr>
        <w:t xml:space="preserve">каналы связи </w:t>
      </w:r>
      <w:r w:rsidR="00AA6A1E">
        <w:rPr>
          <w:sz w:val="24"/>
          <w:szCs w:val="24"/>
        </w:rPr>
        <w:t xml:space="preserve">ПА </w:t>
      </w:r>
      <w:r>
        <w:rPr>
          <w:sz w:val="24"/>
          <w:szCs w:val="24"/>
        </w:rPr>
        <w:t xml:space="preserve">в соответствии с </w:t>
      </w:r>
      <w:r w:rsidR="00E15F93">
        <w:rPr>
          <w:sz w:val="24"/>
          <w:szCs w:val="24"/>
        </w:rPr>
        <w:t>приложением 7 к ТЗ</w:t>
      </w:r>
      <w:r>
        <w:rPr>
          <w:sz w:val="24"/>
          <w:szCs w:val="24"/>
        </w:rPr>
        <w:t xml:space="preserve"> в объеме, </w:t>
      </w:r>
      <w:r w:rsidR="00E15F93">
        <w:rPr>
          <w:sz w:val="24"/>
          <w:szCs w:val="24"/>
        </w:rPr>
        <w:t xml:space="preserve">необходимом </w:t>
      </w:r>
      <w:r>
        <w:rPr>
          <w:sz w:val="24"/>
          <w:szCs w:val="24"/>
        </w:rPr>
        <w:t>для работы АОПО (объем работ уточнить при проектировании).</w:t>
      </w:r>
    </w:p>
    <w:p w:rsidR="00AA6A1E" w:rsidRPr="00AA6A1E" w:rsidRDefault="00AA6A1E" w:rsidP="00AA6A1E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 w:rsidRPr="00AA6A1E">
        <w:rPr>
          <w:sz w:val="24"/>
          <w:szCs w:val="24"/>
        </w:rPr>
        <w:t xml:space="preserve">Оснастить ПС 110 кВ </w:t>
      </w:r>
      <w:r>
        <w:rPr>
          <w:sz w:val="24"/>
          <w:szCs w:val="24"/>
        </w:rPr>
        <w:t xml:space="preserve">Стечкин </w:t>
      </w:r>
      <w:r w:rsidRPr="00AA6A1E">
        <w:rPr>
          <w:sz w:val="24"/>
          <w:szCs w:val="24"/>
        </w:rPr>
        <w:t>телефонной связью для оперативных переговоров с диспетчерским персоналом Тульского РДУ по двум независимым каналам связи, исключающим возможность одновременного отказа (вывода из работы) по общей причине. Технические характеристики и схемы каналов и схемы связи согласовать с Тульским РДУ.</w:t>
      </w:r>
    </w:p>
    <w:p w:rsidR="00CA6D41" w:rsidRDefault="00CA6D41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Оснастить ТЭЦ Тулачермет телефонной связью с оперативным персоналом филиала </w:t>
      </w:r>
      <w:r w:rsidRPr="003E3275">
        <w:rPr>
          <w:sz w:val="24"/>
          <w:szCs w:val="24"/>
        </w:rPr>
        <w:t>ПАО «Россети Центр и Приволжье» - «Тулэнерго»</w:t>
      </w:r>
      <w:r>
        <w:rPr>
          <w:sz w:val="24"/>
          <w:szCs w:val="24"/>
        </w:rPr>
        <w:t>.</w:t>
      </w:r>
    </w:p>
    <w:p w:rsidR="00DF3903" w:rsidRPr="007C7598" w:rsidRDefault="001C7162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 w:rsidRPr="007C7598">
        <w:rPr>
          <w:sz w:val="24"/>
          <w:szCs w:val="24"/>
        </w:rPr>
        <w:t>Актуализировать</w:t>
      </w:r>
      <w:r w:rsidR="00ED4771" w:rsidRPr="007C7598">
        <w:rPr>
          <w:sz w:val="24"/>
          <w:szCs w:val="24"/>
        </w:rPr>
        <w:t xml:space="preserve"> ранее разработанную документацию РД шифр 712007629-19/12/2022-ПА2 «Противоаварийная автоматика. 2 </w:t>
      </w:r>
      <w:r w:rsidR="00B014AD" w:rsidRPr="007C7598">
        <w:rPr>
          <w:sz w:val="24"/>
          <w:szCs w:val="24"/>
        </w:rPr>
        <w:t>этап. АОПО на Алексинской ТЭЦ».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В устройстве АОПО должна быть предусмотрена возможность изменения уставок (групп уставок) на самом устройстве АОПО, дистанционно (только групп уставок) и автоматически по фактору изменения температуры окружающей среды или иным заданным условиям.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rFonts w:eastAsia="MS Mincho"/>
          <w:iCs/>
          <w:sz w:val="24"/>
          <w:szCs w:val="24"/>
          <w:lang w:eastAsia="ja-JP"/>
        </w:rPr>
        <w:lastRenderedPageBreak/>
        <w:t>В устройствах АОПО необходимо предусмотреть наличие ступеней с контролем величины и длительности токовой перегрузки электросетевого оборудования и ЛЭП. Первая ступень действует на сигнал, последняя – на отключение перегружаемого элемента сети, промежуточные ступени действуют на разгрузку перегружаемого элемента сети.</w:t>
      </w:r>
    </w:p>
    <w:p w:rsidR="00DF3903" w:rsidRDefault="00ED4771">
      <w:pPr>
        <w:pStyle w:val="af7"/>
        <w:ind w:left="6" w:firstLine="703"/>
        <w:rPr>
          <w:rFonts w:eastAsia="MS Mincho"/>
          <w:iCs/>
          <w:sz w:val="24"/>
          <w:szCs w:val="24"/>
          <w:lang w:eastAsia="ja-JP"/>
        </w:rPr>
      </w:pPr>
      <w:r>
        <w:rPr>
          <w:rFonts w:eastAsia="MS Mincho"/>
          <w:iCs/>
          <w:sz w:val="24"/>
          <w:szCs w:val="24"/>
          <w:lang w:eastAsia="ja-JP"/>
        </w:rPr>
        <w:t>Число промежуточных ступеней АОПО определить проектом.</w:t>
      </w:r>
    </w:p>
    <w:p w:rsidR="00DF3903" w:rsidRDefault="00ED4771">
      <w:pPr>
        <w:pStyle w:val="af7"/>
        <w:numPr>
          <w:ilvl w:val="1"/>
          <w:numId w:val="11"/>
        </w:numPr>
        <w:ind w:left="709" w:firstLine="1"/>
        <w:rPr>
          <w:rFonts w:eastAsia="MS Mincho"/>
          <w:iCs/>
          <w:sz w:val="24"/>
          <w:szCs w:val="24"/>
          <w:lang w:eastAsia="ja-JP"/>
        </w:rPr>
      </w:pPr>
      <w:r>
        <w:rPr>
          <w:rFonts w:eastAsia="MS Mincho"/>
          <w:iCs/>
          <w:sz w:val="24"/>
          <w:szCs w:val="24"/>
          <w:lang w:eastAsia="ja-JP"/>
        </w:rPr>
        <w:t>В проекте определить объем отключения нагрузки и логику действия АОПО.</w:t>
      </w:r>
    </w:p>
    <w:p w:rsidR="00DF3903" w:rsidRDefault="00ED4771" w:rsidP="00806308">
      <w:pPr>
        <w:pStyle w:val="aff0"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При использовании метода линейной интерполяции и (или) экстраполяции в алгоритме устройства АОПО ввод одинаковых значений температуры для заданных точек зависимости уставок по току от температуры окружающей среды должен блокироваться с выдачей сигнализации.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приема информации о температуре окружающей среды устройство АОПО должно обеспечивать возможность подключения не менее двух датчиков температуры (ДТ). Допускается прием информации о температуре окружающей среды от ДТ с использованием интеллектуального электронного устройства.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В устройстве АОПО должна обеспечиваться возможность проверки достоверности поступающей информации о температуре окружающей среды как минимум по следующим критериям:</w:t>
      </w:r>
    </w:p>
    <w:p w:rsidR="00DF3903" w:rsidRDefault="00ED4771">
      <w:pPr>
        <w:pStyle w:val="aff0"/>
        <w:widowControl/>
        <w:numPr>
          <w:ilvl w:val="0"/>
          <w:numId w:val="12"/>
        </w:numPr>
        <w:tabs>
          <w:tab w:val="left" w:pos="993"/>
        </w:tabs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наличие сигнала не менее чем от двух ДТ;</w:t>
      </w:r>
    </w:p>
    <w:p w:rsidR="00DF3903" w:rsidRDefault="00ED4771">
      <w:pPr>
        <w:pStyle w:val="aff0"/>
        <w:widowControl/>
        <w:numPr>
          <w:ilvl w:val="0"/>
          <w:numId w:val="12"/>
        </w:numPr>
        <w:tabs>
          <w:tab w:val="left" w:pos="993"/>
        </w:tabs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выхода измерения температуры окружающей среды за заданный диапазон измерений не менее чем у двух ДТ;</w:t>
      </w:r>
    </w:p>
    <w:p w:rsidR="00DF3903" w:rsidRDefault="00ED4771">
      <w:pPr>
        <w:pStyle w:val="aff0"/>
        <w:widowControl/>
        <w:numPr>
          <w:ilvl w:val="0"/>
          <w:numId w:val="12"/>
        </w:numPr>
        <w:tabs>
          <w:tab w:val="left" w:pos="993"/>
        </w:tabs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выхода разности между показаниями ДТ за допустимую величину не менее чем у двух ДТ.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При выявлении недостоверности поступающей информации о температуре окружающей среды устройство АОПО должно без выдержки времени переходить с автоматического режима задания уставок на уставки, соответствующие последним достоверным данным.</w:t>
      </w:r>
    </w:p>
    <w:p w:rsidR="00DF3903" w:rsidRDefault="00ED4771" w:rsidP="00806308">
      <w:pPr>
        <w:pStyle w:val="aff0"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При выявлении поступления в устройство АОПО достоверной информации о температуре окружающей среды устройство АОПО должно переходить на автоматический режим изменения уставок по факту изменения температуры окружающей среды.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проекте предусмотреть решения по регистрации аварийных процессов и событий объекта с организацией вывода дискретных и аналоговых сигналов разных устройств, фиксирующих событие в одну осциллограмму. 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Разработать однолинейную расчетную схему прилегающей сети для расчета токов КЗ, необходимой в свою очередь для расчета параметров срабатывания релейной защиты, с указанием длин и марок проводов участков ВЛ.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Предоставить в проекте перечень всех функций АОПО необходимых на данном объекте, анализ возможности реализации выбранных функций на оборудовании разных производителей.</w:t>
      </w:r>
    </w:p>
    <w:p w:rsidR="00DF3903" w:rsidRDefault="00ED4771">
      <w:pPr>
        <w:pStyle w:val="aff0"/>
        <w:widowControl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Предусмотреть в проекте применение устройств передачи аварийных сигналов и команд (УПАСК) на объектах проектирования, организацию каналов связи между объектами проектирования. Использовать ВОЛС (ВЧ, другое) для передачи команд и сигналов. Тип необходимого оборудования определить в ПД на основании приложения 7 к настоящему ТЗ (таблица измерений).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Предусмотреть выдачу сигналов проектируемой автоматики в существующие на устройства РАС.</w:t>
      </w:r>
    </w:p>
    <w:p w:rsidR="00DF3903" w:rsidRDefault="00ED4771">
      <w:pPr>
        <w:pStyle w:val="aff0"/>
        <w:numPr>
          <w:ilvl w:val="1"/>
          <w:numId w:val="11"/>
        </w:numPr>
        <w:spacing w:after="0"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Разработать функциональной блок-схемы взаимодействия устройств АОПО между собой и внешними устройствами, на которых должны быть все коммуникации между устройствами </w:t>
      </w:r>
      <w:r>
        <w:rPr>
          <w:sz w:val="24"/>
          <w:szCs w:val="24"/>
        </w:rPr>
        <w:lastRenderedPageBreak/>
        <w:t>РЗА.</w:t>
      </w:r>
    </w:p>
    <w:p w:rsidR="00CA6D41" w:rsidRDefault="00CA6D41">
      <w:pPr>
        <w:pStyle w:val="aff0"/>
        <w:spacing w:after="0" w:line="276" w:lineRule="auto"/>
        <w:ind w:left="6" w:firstLine="703"/>
        <w:jc w:val="both"/>
        <w:rPr>
          <w:sz w:val="24"/>
          <w:szCs w:val="24"/>
        </w:rPr>
      </w:pPr>
      <w:r w:rsidRPr="00806308">
        <w:rPr>
          <w:b/>
          <w:sz w:val="24"/>
          <w:szCs w:val="24"/>
        </w:rPr>
        <w:t>3.25</w:t>
      </w:r>
      <w:r w:rsidRPr="00806308">
        <w:rPr>
          <w:b/>
          <w:sz w:val="24"/>
          <w:szCs w:val="24"/>
        </w:rPr>
        <w:tab/>
      </w:r>
      <w:r w:rsidRPr="00C62ABB">
        <w:rPr>
          <w:sz w:val="24"/>
          <w:szCs w:val="24"/>
        </w:rPr>
        <w:t xml:space="preserve">Оснастить </w:t>
      </w:r>
      <w:r>
        <w:rPr>
          <w:sz w:val="24"/>
          <w:szCs w:val="24"/>
        </w:rPr>
        <w:t>ПС 110 кВ Стечкин, ПС 110 кВ Красные ворота</w:t>
      </w:r>
      <w:r w:rsidRPr="00C62ABB">
        <w:rPr>
          <w:sz w:val="24"/>
          <w:szCs w:val="24"/>
        </w:rPr>
        <w:t xml:space="preserve"> устройствами сбора и передачи телеинформации в Тульское РДУ по двум независимым каналам связи в каждом направлении, исключающим возможность одновременного отказа (вывода из работы) по общей причине.</w:t>
      </w:r>
      <w:r>
        <w:rPr>
          <w:sz w:val="24"/>
          <w:szCs w:val="24"/>
        </w:rPr>
        <w:t xml:space="preserve"> </w:t>
      </w:r>
    </w:p>
    <w:p w:rsidR="00DF3903" w:rsidRDefault="00ED4771">
      <w:pPr>
        <w:pStyle w:val="aff0"/>
        <w:spacing w:after="0" w:line="276" w:lineRule="auto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характеристики и схемы каналов связи, точки измерения и объем передаваемой телеинформации согласовать с Тульским РДУ, при этом должна быть обеспечена наблюдаемость фактической нагрузки, подключенной к устройствам ПА (кроме АЧР).</w:t>
      </w:r>
    </w:p>
    <w:p w:rsidR="00DF3903" w:rsidRDefault="00ED4771">
      <w:pPr>
        <w:pStyle w:val="aff0"/>
        <w:widowControl/>
        <w:numPr>
          <w:ilvl w:val="0"/>
          <w:numId w:val="11"/>
        </w:numPr>
        <w:tabs>
          <w:tab w:val="clear" w:pos="1730"/>
          <w:tab w:val="num" w:pos="710"/>
          <w:tab w:val="left" w:pos="993"/>
        </w:tabs>
        <w:spacing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Этапы разработки документации:</w:t>
      </w:r>
    </w:p>
    <w:p w:rsidR="00DF3903" w:rsidRDefault="00ED4771">
      <w:pPr>
        <w:pStyle w:val="af6"/>
        <w:tabs>
          <w:tab w:val="left" w:pos="1134"/>
        </w:tabs>
        <w:ind w:left="0" w:firstLine="709"/>
      </w:pPr>
      <w:r>
        <w:rPr>
          <w:b/>
        </w:rPr>
        <w:t xml:space="preserve">I этап </w:t>
      </w:r>
      <w:r>
        <w:t>- разработка, обоснование и согласование с Заказчиком,</w:t>
      </w:r>
      <w:r>
        <w:rPr>
          <w:i/>
        </w:rPr>
        <w:t xml:space="preserve"> </w:t>
      </w:r>
      <w:r>
        <w:t>и собственниками объектов, технологически связанных с объектом проектирования основных технических решений (ОТР) по проектируемому объекту (в сроки, установленные соответствующим договором).</w:t>
      </w:r>
    </w:p>
    <w:p w:rsidR="00DF3903" w:rsidRDefault="00ED4771">
      <w:pPr>
        <w:pStyle w:val="af6"/>
        <w:ind w:left="0" w:firstLine="709"/>
      </w:pPr>
      <w:r>
        <w:rPr>
          <w:b/>
        </w:rPr>
        <w:t xml:space="preserve">Ⅱ этап </w:t>
      </w:r>
      <w:r>
        <w:t xml:space="preserve">- </w:t>
      </w:r>
      <w:r>
        <w:rPr>
          <w:bCs/>
        </w:rPr>
        <w:t xml:space="preserve">разработка </w:t>
      </w:r>
      <w:r w:rsidR="00003490">
        <w:rPr>
          <w:bCs/>
        </w:rPr>
        <w:t xml:space="preserve">и </w:t>
      </w:r>
      <w:r>
        <w:rPr>
          <w:bCs/>
        </w:rPr>
        <w:t>согласование проектной документации в соответствии с требованиями нормативно-технических документов; получение подрядчиком результатов инженерных изысканий и заключения о достоверности определения сметной стоимости объекта</w:t>
      </w:r>
      <w:r>
        <w:t>.</w:t>
      </w:r>
    </w:p>
    <w:p w:rsidR="00DF3903" w:rsidRDefault="00ED4771">
      <w:pPr>
        <w:pStyle w:val="af6"/>
        <w:tabs>
          <w:tab w:val="left" w:pos="1134"/>
        </w:tabs>
        <w:ind w:left="0" w:firstLine="709"/>
      </w:pPr>
      <w:r>
        <w:rPr>
          <w:b/>
        </w:rPr>
        <w:t xml:space="preserve">IⅡ этап </w:t>
      </w:r>
      <w:r>
        <w:t xml:space="preserve">- </w:t>
      </w:r>
      <w:r>
        <w:rPr>
          <w:bCs/>
        </w:rPr>
        <w:t>разработка и согласование рабочей документации (РД) в соответствии с требованиями нормативно-технических документов</w:t>
      </w:r>
      <w:r>
        <w:t>.</w:t>
      </w:r>
    </w:p>
    <w:p w:rsidR="00DF3903" w:rsidRDefault="00ED4771">
      <w:pPr>
        <w:pStyle w:val="af7"/>
        <w:numPr>
          <w:ilvl w:val="1"/>
          <w:numId w:val="11"/>
        </w:numPr>
        <w:ind w:left="6" w:firstLine="70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закупочной документации на проведение процедур по выбору подрядчика на выполнение строительно-монтажных работ (СМР) и пуско-наладочных работ (ПНР).  </w:t>
      </w:r>
    </w:p>
    <w:p w:rsidR="00DF3903" w:rsidRDefault="00ED4771">
      <w:pPr>
        <w:pStyle w:val="af7"/>
        <w:numPr>
          <w:ilvl w:val="1"/>
          <w:numId w:val="11"/>
        </w:numPr>
        <w:ind w:left="6" w:firstLine="70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ТЗ и ОТР.</w:t>
      </w:r>
    </w:p>
    <w:p w:rsidR="00DF3903" w:rsidRDefault="00ED4771">
      <w:pPr>
        <w:pStyle w:val="af7"/>
        <w:numPr>
          <w:ilvl w:val="1"/>
          <w:numId w:val="11"/>
        </w:numPr>
        <w:ind w:left="6" w:firstLine="70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ОТР (при необходимости, при соответствующем обосновании согласования технических решений в части первичного оборудования) и 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DF3903" w:rsidRDefault="00ED4771">
      <w:pPr>
        <w:pStyle w:val="af7"/>
        <w:numPr>
          <w:ilvl w:val="1"/>
          <w:numId w:val="11"/>
        </w:numPr>
        <w:ind w:left="6" w:firstLine="70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альбомы типовых проектных решений.</w:t>
      </w:r>
    </w:p>
    <w:p w:rsidR="00DF3903" w:rsidRDefault="00ED4771">
      <w:pPr>
        <w:pStyle w:val="aff0"/>
        <w:widowControl/>
        <w:numPr>
          <w:ilvl w:val="0"/>
          <w:numId w:val="11"/>
        </w:numPr>
        <w:tabs>
          <w:tab w:val="clear" w:pos="1730"/>
          <w:tab w:val="num" w:pos="710"/>
          <w:tab w:val="left" w:pos="993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характеристики проектируемого объекта.</w:t>
      </w:r>
    </w:p>
    <w:p w:rsidR="00DF3903" w:rsidRDefault="00ED4771">
      <w:pPr>
        <w:pStyle w:val="10"/>
        <w:tabs>
          <w:tab w:val="left" w:pos="993"/>
          <w:tab w:val="left" w:pos="1795"/>
        </w:tabs>
        <w:spacing w:before="120" w:after="120"/>
        <w:ind w:left="0" w:firstLine="0"/>
        <w:jc w:val="center"/>
      </w:pPr>
      <w:r>
        <w:t>ПС 110/10/10 кВ Стечкин</w:t>
      </w:r>
    </w:p>
    <w:tbl>
      <w:tblPr>
        <w:tblW w:w="104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536"/>
        <w:gridCol w:w="5954"/>
      </w:tblGrid>
      <w:tr w:rsidR="00DF3903">
        <w:trPr>
          <w:trHeight w:val="70"/>
          <w:tblHeader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903" w:rsidRDefault="00ED4771">
            <w:pPr>
              <w:tabs>
                <w:tab w:val="left" w:pos="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903" w:rsidRDefault="00ED4771">
            <w:pPr>
              <w:pStyle w:val="3"/>
              <w:keepNext w:val="0"/>
              <w:tabs>
                <w:tab w:val="left" w:pos="180"/>
              </w:tabs>
              <w:spacing w:before="0"/>
              <w:ind w:left="72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Значение / Заданные характеристики</w:t>
            </w:r>
          </w:p>
        </w:tc>
      </w:tr>
      <w:tr w:rsidR="00DF3903">
        <w:trPr>
          <w:trHeight w:val="40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Номинальные напряжения, кВ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110/10/10 </w:t>
            </w:r>
          </w:p>
        </w:tc>
      </w:tr>
      <w:tr w:rsidR="00DF3903">
        <w:trPr>
          <w:trHeight w:val="8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 ПС и РУ (открытое, закрытое, блочное, КРУЭ и т.д.)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110 кВ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КРУН 10 кВ</w:t>
            </w:r>
          </w:p>
        </w:tc>
      </w:tr>
      <w:tr w:rsidR="00DF3903">
        <w:trPr>
          <w:trHeight w:val="67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ПС (цифровая/на традиционных принципах управления)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традиционных принципах управления</w:t>
            </w:r>
          </w:p>
        </w:tc>
      </w:tr>
      <w:tr w:rsidR="00DF390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схемы каждого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 кВ: два блока с выключателями и неавтоматическая перемычка со стороны линии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кВ: одиночная секционированная сш.</w:t>
            </w:r>
          </w:p>
        </w:tc>
      </w:tr>
      <w:tr w:rsidR="00DF3903">
        <w:trPr>
          <w:trHeight w:val="63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ЛЭП, подключаемых к ПС, по каждому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110 кВ – 2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КРУН 10 кВ – 28 шт.</w:t>
            </w:r>
          </w:p>
        </w:tc>
      </w:tr>
      <w:tr w:rsidR="00DF3903">
        <w:trPr>
          <w:trHeight w:val="40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резервных ячеек по каждому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КРУН 10 кВ – 1 шт.</w:t>
            </w:r>
          </w:p>
        </w:tc>
      </w:tr>
      <w:tr w:rsidR="00DF3903">
        <w:trPr>
          <w:trHeight w:val="112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выключателей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ОРУ 110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ВГТ-110 II-40/2500У1 - 2 шт. 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КРУН 10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ВВУ-СЭЩ-10 - 28 шт</w:t>
            </w:r>
          </w:p>
        </w:tc>
      </w:tr>
      <w:tr w:rsidR="00DF3903">
        <w:trPr>
          <w:trHeight w:val="55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 мощность силовых трансформаторов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2×40 МВА</w:t>
            </w:r>
          </w:p>
        </w:tc>
      </w:tr>
      <w:tr w:rsidR="00DF3903">
        <w:trPr>
          <w:trHeight w:val="40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собственных нужд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 1 шт. на каждой секции по 10 кВ</w:t>
            </w:r>
          </w:p>
        </w:tc>
      </w:tr>
      <w:tr w:rsidR="00DF3903">
        <w:trPr>
          <w:trHeight w:val="42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оперативного тока (СОТ, СОПТ)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переменный оперативный ток</w:t>
            </w:r>
          </w:p>
        </w:tc>
      </w:tr>
      <w:tr w:rsidR="00DF3903">
        <w:trPr>
          <w:trHeight w:val="452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аварийных</w:t>
            </w:r>
            <w:r w:rsidR="00D73D14">
              <w:rPr>
                <w:sz w:val="24"/>
                <w:szCs w:val="24"/>
              </w:rPr>
              <w:t xml:space="preserve"> событий и процессов (РАС, СМПР</w:t>
            </w:r>
            <w:r>
              <w:rPr>
                <w:sz w:val="24"/>
                <w:szCs w:val="24"/>
              </w:rPr>
              <w:t>) (уточнить при проектировании)</w:t>
            </w:r>
          </w:p>
          <w:p w:rsidR="00DF3903" w:rsidRDefault="00DF3903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4F8" w:rsidRDefault="000A64F8" w:rsidP="000A64F8">
            <w:pPr>
              <w:tabs>
                <w:tab w:val="left" w:pos="180"/>
              </w:tabs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Указываются:</w:t>
            </w:r>
          </w:p>
          <w:p w:rsidR="000A64F8" w:rsidRDefault="000A64F8" w:rsidP="000A64F8">
            <w:pPr>
              <w:tabs>
                <w:tab w:val="left" w:pos="180"/>
                <w:tab w:val="left" w:pos="33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Расширение существующего РАС «Парма».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Определить техническую возможность и требуемые мероприятия для сбора в АСУ ТП информации от РАС в соответствии с приложением № 3 к настоящему ТЗ. Определить техническую возможность изменения параметров настройки (условия пуска записи осциллограммы, длительность режима записи осциллограммы, наименования аналоговых и дискретных сигналов в осциллограмме, наименование файла осциллограммы) РАС в соответствии с требованиями </w:t>
            </w:r>
            <w:hyperlink r:id="rId8" w:tooltip="&quot;ГОСТ Р 58601-2019 Единая энергетическая система и изолированно работающие энергосистемы ...&quot; (утв. приказом Росстандарта от 15.10.2019 N 995-ст) Применяется с 01.01.2020 Статус: Действующая редакция документа (действ. c 15.07.2022)" w:history="1">
              <w:r>
                <w:rPr>
                  <w:rStyle w:val="af0"/>
                  <w:color w:val="000000"/>
                  <w:sz w:val="24"/>
                  <w:szCs w:val="24"/>
                </w:rPr>
                <w:t>ГОСТ Р 58601</w:t>
              </w:r>
            </w:hyperlink>
            <w:r>
              <w:rPr>
                <w:color w:val="000000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 (далее – </w:t>
            </w:r>
            <w:hyperlink r:id="rId9" w:tooltip="&quot;ГОСТ Р 58601-2019 Единая энергетическая система и изолированно работающие энергосистемы ...&quot; (утв. приказом Росстандарта от 15.10.2019 N 995-ст) Применяется с 01.01.2020 Статус: Действующая редакция документа (действ. c 15.07.2022)" w:history="1">
              <w:r>
                <w:rPr>
                  <w:rStyle w:val="af0"/>
                  <w:color w:val="000000"/>
                  <w:sz w:val="24"/>
                  <w:szCs w:val="24"/>
                </w:rPr>
                <w:t>ГОСТ Р 58601</w:t>
              </w:r>
            </w:hyperlink>
            <w:r>
              <w:rPr>
                <w:color w:val="000000"/>
                <w:sz w:val="24"/>
                <w:szCs w:val="24"/>
              </w:rPr>
              <w:t>).</w:t>
            </w:r>
          </w:p>
        </w:tc>
      </w:tr>
      <w:tr w:rsidR="00DF3903">
        <w:trPr>
          <w:trHeight w:val="83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для мониторинга функционирования устройств РЗА на ПС (нижний уровень АСМ РЗА)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Определяется при проектировании </w:t>
            </w:r>
          </w:p>
        </w:tc>
      </w:tr>
      <w:tr w:rsidR="00DF3903">
        <w:trPr>
          <w:trHeight w:val="70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сбора и передачи телеинформации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B014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ССПИ (уточнить при проектировании)</w:t>
            </w:r>
          </w:p>
        </w:tc>
      </w:tr>
    </w:tbl>
    <w:p w:rsidR="00DF3903" w:rsidRDefault="00ED4771">
      <w:pPr>
        <w:pStyle w:val="10"/>
        <w:tabs>
          <w:tab w:val="left" w:pos="993"/>
          <w:tab w:val="left" w:pos="1795"/>
        </w:tabs>
        <w:spacing w:before="120" w:after="120"/>
        <w:ind w:left="0" w:firstLine="709"/>
        <w:rPr>
          <w:b w:val="0"/>
          <w:bCs w:val="0"/>
          <w:lang w:eastAsia="ar-SA"/>
        </w:rPr>
      </w:pPr>
      <w:r>
        <w:rPr>
          <w:b w:val="0"/>
          <w:lang w:eastAsia="ar-SA"/>
        </w:rPr>
        <w:t>Сохранить существующее диспетчерское наименование: ПС 110 кВ Стечкин</w:t>
      </w:r>
      <w:r>
        <w:rPr>
          <w:b w:val="0"/>
          <w:bCs w:val="0"/>
          <w:lang w:eastAsia="ar-SA"/>
        </w:rPr>
        <w:t>.</w:t>
      </w:r>
    </w:p>
    <w:p w:rsidR="00DF3903" w:rsidRDefault="00ED4771">
      <w:pPr>
        <w:pStyle w:val="10"/>
        <w:tabs>
          <w:tab w:val="left" w:pos="993"/>
          <w:tab w:val="left" w:pos="1795"/>
        </w:tabs>
        <w:spacing w:before="120" w:after="120"/>
        <w:ind w:left="0" w:firstLine="0"/>
        <w:jc w:val="center"/>
      </w:pPr>
      <w:r>
        <w:t>ПС 110/35/6 кВ Кировская</w:t>
      </w:r>
    </w:p>
    <w:tbl>
      <w:tblPr>
        <w:tblW w:w="104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536"/>
        <w:gridCol w:w="5954"/>
      </w:tblGrid>
      <w:tr w:rsidR="00DF3903">
        <w:trPr>
          <w:trHeight w:val="70"/>
          <w:tblHeader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903" w:rsidRDefault="00ED4771">
            <w:pPr>
              <w:tabs>
                <w:tab w:val="left" w:pos="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903" w:rsidRDefault="00ED4771">
            <w:pPr>
              <w:pStyle w:val="3"/>
              <w:keepNext w:val="0"/>
              <w:tabs>
                <w:tab w:val="left" w:pos="180"/>
              </w:tabs>
              <w:spacing w:before="0"/>
              <w:ind w:left="72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Значение / Заданные характеристики</w:t>
            </w:r>
          </w:p>
        </w:tc>
      </w:tr>
      <w:tr w:rsidR="00DF3903">
        <w:trPr>
          <w:trHeight w:val="35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Номинальные напряжения, кВ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110/35/6 </w:t>
            </w:r>
          </w:p>
        </w:tc>
      </w:tr>
      <w:tr w:rsidR="00DF3903">
        <w:trPr>
          <w:trHeight w:val="69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 ПС и РУ (открытое, закрытое, блочное, КРУЭ и т.д.)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110 кВ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35 кВ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ЗРУ 6 кВ</w:t>
            </w:r>
          </w:p>
        </w:tc>
      </w:tr>
      <w:tr w:rsidR="00DF390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ПС (цифровая/на традиционных принципах управления)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традиционных принципах управления</w:t>
            </w:r>
          </w:p>
        </w:tc>
      </w:tr>
      <w:tr w:rsidR="00DF390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Тип схемы каждого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 кВ: две рабочие системы шин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 кВ: нет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кВ: две рабочие системы шин</w:t>
            </w:r>
          </w:p>
        </w:tc>
      </w:tr>
      <w:tr w:rsidR="00DF3903">
        <w:trPr>
          <w:trHeight w:val="5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ЛЭП, подключаемых к ПС, по каждому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110 кВ – 11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ЗРУ 6 кВ – 13 шт.</w:t>
            </w:r>
          </w:p>
        </w:tc>
      </w:tr>
      <w:tr w:rsidR="00DF3903">
        <w:trPr>
          <w:trHeight w:val="42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резервных ячеек по каждому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ЗРУ 6 кВ – 1 шт.</w:t>
            </w:r>
          </w:p>
        </w:tc>
      </w:tr>
      <w:tr w:rsidR="00DF3903">
        <w:trPr>
          <w:trHeight w:val="12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выключателей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ОРУ 110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145РМ 40-20 - 14 шт. 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ЗРУ 6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ВБМ-10-20/1600 17 шт</w:t>
            </w:r>
          </w:p>
          <w:p w:rsidR="00DF3903" w:rsidRDefault="00DF3903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F3903">
        <w:trPr>
          <w:trHeight w:val="27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 мощность силовых трансформаторов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2×40 МВА</w:t>
            </w:r>
          </w:p>
        </w:tc>
      </w:tr>
      <w:tr w:rsidR="00DF3903">
        <w:trPr>
          <w:trHeight w:val="27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собственных нужд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 1 шт. на каждой системе шин по 6 кВ</w:t>
            </w:r>
          </w:p>
        </w:tc>
      </w:tr>
      <w:tr w:rsidR="00DF3903">
        <w:trPr>
          <w:trHeight w:val="41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оперативного тока (СОТ, СОПТ)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постоянный оперативный ток </w:t>
            </w:r>
          </w:p>
        </w:tc>
      </w:tr>
      <w:tr w:rsidR="00DF3903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 w:rsidP="00D73D14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аварийных событий и процессов (РАС, СМПР)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Указываются:</w:t>
            </w:r>
          </w:p>
          <w:p w:rsidR="00DF3903" w:rsidRDefault="00ED4771">
            <w:pPr>
              <w:tabs>
                <w:tab w:val="left" w:pos="180"/>
                <w:tab w:val="left" w:pos="33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Расширение существующего РАС «Парма».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Определить техническую возможность:</w:t>
            </w:r>
          </w:p>
          <w:p w:rsidR="00DF3903" w:rsidRDefault="00ED4771">
            <w:pPr>
              <w:pStyle w:val="af7"/>
              <w:numPr>
                <w:ilvl w:val="0"/>
                <w:numId w:val="32"/>
              </w:numPr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изменения параметров настройки (условия пуска записи осциллограммы, длительность режима записи осциллограммы, наименования аналоговых и дискретных сигналов в осциллограмме, наименование файла осциллограммы) РАС в соответствии с требованиями </w:t>
            </w:r>
            <w:hyperlink w:history="1">
              <w:r>
                <w:rPr>
                  <w:rStyle w:val="af0"/>
                  <w:color w:val="000000"/>
                  <w:sz w:val="24"/>
                  <w:szCs w:val="24"/>
                </w:rPr>
                <w:t>ГОСТ Р 58601</w:t>
              </w:r>
            </w:hyperlink>
            <w:r>
              <w:rPr>
                <w:color w:val="000000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 (далее – </w:t>
            </w:r>
            <w:hyperlink w:history="1">
              <w:r>
                <w:rPr>
                  <w:rStyle w:val="af0"/>
                  <w:color w:val="000000"/>
                  <w:sz w:val="24"/>
                  <w:szCs w:val="24"/>
                </w:rPr>
                <w:t>ГОСТ Р 58601</w:t>
              </w:r>
            </w:hyperlink>
            <w:r>
              <w:rPr>
                <w:color w:val="000000"/>
                <w:sz w:val="24"/>
                <w:szCs w:val="24"/>
              </w:rPr>
              <w:t>)</w:t>
            </w:r>
          </w:p>
          <w:p w:rsidR="00DF3903" w:rsidRDefault="00ED4771" w:rsidP="00AA6A1E">
            <w:pPr>
              <w:pStyle w:val="af7"/>
              <w:numPr>
                <w:ilvl w:val="0"/>
                <w:numId w:val="32"/>
              </w:numPr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передачу в Тульское РДУ файлов с данными регистрации аварийных событий в соответсвии с ГОСТ Р 59550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</w:t>
            </w:r>
            <w:hyperlink r:id="rId10" w:tooltip="&quot;ГОСТ Р 58601-2019 Единая энергетическая система и изолированно работающие энергосистемы ...&quot; (утв. приказом Росстандарта от 15.10.2019 N 995-ст) Применяется с 01.01.2020 Статус: Действующая редакция документа (действ. c 15.07.2022)" w:history="1"/>
          </w:p>
        </w:tc>
      </w:tr>
      <w:tr w:rsidR="00DF3903">
        <w:trPr>
          <w:trHeight w:val="58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данных для мониторинга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Определяется при проектировании.</w:t>
            </w:r>
          </w:p>
        </w:tc>
      </w:tr>
      <w:tr w:rsidR="00DF3903">
        <w:trPr>
          <w:trHeight w:val="78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сбора и передачи телеинформации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Определяется при проектировании необходимость расширения (модернизации, замены) существующей системы ТМ (ССПИ).</w:t>
            </w:r>
          </w:p>
        </w:tc>
      </w:tr>
    </w:tbl>
    <w:p w:rsidR="00DF3903" w:rsidRDefault="00ED4771">
      <w:pPr>
        <w:pStyle w:val="10"/>
        <w:tabs>
          <w:tab w:val="left" w:pos="993"/>
          <w:tab w:val="left" w:pos="1795"/>
        </w:tabs>
        <w:spacing w:before="120" w:after="120"/>
        <w:ind w:left="0" w:firstLine="709"/>
        <w:rPr>
          <w:b w:val="0"/>
          <w:lang w:eastAsia="ar-SA"/>
        </w:rPr>
      </w:pPr>
      <w:r>
        <w:rPr>
          <w:b w:val="0"/>
          <w:lang w:eastAsia="ar-SA"/>
        </w:rPr>
        <w:t>Сохранить существующее диспетчерское наименование: ПС 110 кВ Кировская.</w:t>
      </w:r>
    </w:p>
    <w:p w:rsidR="00D32A94" w:rsidRDefault="00D32A94">
      <w:pPr>
        <w:pStyle w:val="10"/>
        <w:tabs>
          <w:tab w:val="left" w:pos="993"/>
          <w:tab w:val="left" w:pos="1795"/>
        </w:tabs>
        <w:spacing w:before="120" w:after="120"/>
        <w:ind w:left="0" w:firstLine="0"/>
        <w:jc w:val="center"/>
      </w:pPr>
    </w:p>
    <w:p w:rsidR="00D32A94" w:rsidRDefault="00D32A94">
      <w:pPr>
        <w:pStyle w:val="10"/>
        <w:tabs>
          <w:tab w:val="left" w:pos="993"/>
          <w:tab w:val="left" w:pos="1795"/>
        </w:tabs>
        <w:spacing w:before="120" w:after="120"/>
        <w:ind w:left="0" w:firstLine="0"/>
        <w:jc w:val="center"/>
      </w:pPr>
    </w:p>
    <w:p w:rsidR="00DF3903" w:rsidRDefault="00ED4771">
      <w:pPr>
        <w:pStyle w:val="10"/>
        <w:tabs>
          <w:tab w:val="left" w:pos="993"/>
          <w:tab w:val="left" w:pos="1795"/>
        </w:tabs>
        <w:spacing w:before="120" w:after="120"/>
        <w:ind w:left="0" w:firstLine="0"/>
        <w:jc w:val="center"/>
      </w:pPr>
      <w:r>
        <w:t>ПС 110/35/6 кВ Щегловская</w:t>
      </w:r>
    </w:p>
    <w:tbl>
      <w:tblPr>
        <w:tblW w:w="104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536"/>
        <w:gridCol w:w="5954"/>
      </w:tblGrid>
      <w:tr w:rsidR="00DF3903">
        <w:trPr>
          <w:trHeight w:val="70"/>
          <w:tblHeader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903" w:rsidRDefault="00ED4771">
            <w:pPr>
              <w:tabs>
                <w:tab w:val="left" w:pos="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903" w:rsidRDefault="00ED4771">
            <w:pPr>
              <w:pStyle w:val="3"/>
              <w:keepNext w:val="0"/>
              <w:tabs>
                <w:tab w:val="left" w:pos="180"/>
              </w:tabs>
              <w:spacing w:before="0"/>
              <w:ind w:left="72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Значение / Заданные характеристики</w:t>
            </w:r>
          </w:p>
        </w:tc>
      </w:tr>
      <w:tr w:rsidR="00DF3903">
        <w:trPr>
          <w:trHeight w:val="2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Номинальные напряжения, кВ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110/35/6 </w:t>
            </w:r>
          </w:p>
        </w:tc>
      </w:tr>
      <w:tr w:rsidR="00DF3903">
        <w:trPr>
          <w:trHeight w:val="84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 ПС и РУ (открытое, закрытое, блочное, КРУЭ и т.д.)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110 кВ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35 кВ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ЗРУ 6 кВ</w:t>
            </w:r>
          </w:p>
        </w:tc>
      </w:tr>
      <w:tr w:rsidR="00DF3903">
        <w:trPr>
          <w:trHeight w:val="68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ПС (цифровая/на традиционных принципах управления)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традиционных принципах управления</w:t>
            </w:r>
          </w:p>
        </w:tc>
      </w:tr>
      <w:tr w:rsidR="00DF3903">
        <w:trPr>
          <w:trHeight w:val="85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схемы каждого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 кВ: две рабочие системы шин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 кВ: две рабочие системы шин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кВ: две рабочие системы шин</w:t>
            </w:r>
          </w:p>
        </w:tc>
      </w:tr>
      <w:tr w:rsidR="00DF3903">
        <w:trPr>
          <w:trHeight w:val="111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ЛЭП, подключаемых к ПС, по каждому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110 кВ – 8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ОРУ 35 кВ – 2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ЗРУ 6 кВ – 15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КРУН 6 кВ – 6 шт.</w:t>
            </w:r>
          </w:p>
        </w:tc>
      </w:tr>
      <w:tr w:rsidR="00DF3903">
        <w:trPr>
          <w:trHeight w:val="55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резервных ячеек по каждому РУ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ЗРУ 6 кВ – 1 шт.</w:t>
            </w:r>
          </w:p>
        </w:tc>
      </w:tr>
      <w:tr w:rsidR="00DF3903">
        <w:trPr>
          <w:trHeight w:val="281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выключателей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ОРУ 110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МКП-160 - 10 шт. 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ЗАР1FG-145/EK – 1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ОРУ 35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ВБПС-35-25/630 – 5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ЗРУ 6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МГГ-223/2000 - 12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ВВ/TEL 10-20/1000 – 11 шт.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КРУН 6 кВ: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ВВУ-СЭЩ-10 – 9 шт.</w:t>
            </w:r>
          </w:p>
        </w:tc>
      </w:tr>
      <w:tr w:rsidR="00DF3903">
        <w:trPr>
          <w:trHeight w:val="55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 мощность силовых трансформаторов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2×40 МВА</w:t>
            </w:r>
          </w:p>
        </w:tc>
      </w:tr>
      <w:tr w:rsidR="00DF3903" w:rsidTr="00FE2680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собственных нужд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 1 шт. на каждой системе шин по 6 кВ</w:t>
            </w:r>
          </w:p>
        </w:tc>
      </w:tr>
      <w:tr w:rsidR="00DF3903">
        <w:trPr>
          <w:trHeight w:val="16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оперативного тока (СОТ, СОПТ)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постоянный оперативный ток </w:t>
            </w:r>
          </w:p>
        </w:tc>
      </w:tr>
      <w:tr w:rsidR="00DF3903">
        <w:trPr>
          <w:trHeight w:val="226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ава</w:t>
            </w:r>
            <w:r w:rsidR="00D73D14">
              <w:rPr>
                <w:sz w:val="24"/>
                <w:szCs w:val="24"/>
              </w:rPr>
              <w:t>рийных событий и процессов (РАС</w:t>
            </w:r>
            <w:r>
              <w:rPr>
                <w:sz w:val="24"/>
                <w:szCs w:val="24"/>
              </w:rPr>
              <w:t>) (уточнить при проектировании)</w:t>
            </w:r>
          </w:p>
          <w:p w:rsidR="00DF3903" w:rsidRDefault="00DF3903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  <w:tab w:val="left" w:pos="33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Расширение существующего РАС «Парма»</w:t>
            </w:r>
          </w:p>
          <w:p w:rsidR="00DF3903" w:rsidRDefault="00003490">
            <w:pPr>
              <w:tabs>
                <w:tab w:val="left" w:pos="180"/>
                <w:tab w:val="left" w:pos="33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ED4771">
              <w:rPr>
                <w:iCs/>
                <w:sz w:val="24"/>
                <w:szCs w:val="24"/>
              </w:rPr>
              <w:t>. Состав, вид и количество устройств системы РАСП (РАС, СМПР).</w:t>
            </w:r>
          </w:p>
          <w:p w:rsidR="00DF3903" w:rsidRDefault="00ED4771">
            <w:pPr>
              <w:tabs>
                <w:tab w:val="left" w:pos="180"/>
              </w:tabs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Определить техническую возможность:</w:t>
            </w:r>
          </w:p>
          <w:p w:rsidR="00DF3903" w:rsidRDefault="00ED4771">
            <w:pPr>
              <w:pStyle w:val="af7"/>
              <w:numPr>
                <w:ilvl w:val="0"/>
                <w:numId w:val="33"/>
              </w:numPr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изменения параметров настройки (условия пуска записи осциллограммы, длительность режима записи осциллограммы, наименования аналоговых и дискретных сигналов в осциллограмме, наименование файла осциллограммы) РАС в соответствии с требованиями </w:t>
            </w:r>
            <w:hyperlink w:history="1">
              <w:r>
                <w:rPr>
                  <w:rStyle w:val="af0"/>
                  <w:color w:val="000000"/>
                  <w:sz w:val="24"/>
                  <w:szCs w:val="24"/>
                </w:rPr>
                <w:t>ГОСТ Р 58601</w:t>
              </w:r>
            </w:hyperlink>
            <w:r>
              <w:rPr>
                <w:color w:val="000000"/>
                <w:sz w:val="24"/>
                <w:szCs w:val="24"/>
              </w:rPr>
              <w:t xml:space="preserve">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аварийных событий. Нормы и требования» (далее – </w:t>
            </w:r>
            <w:hyperlink w:history="1">
              <w:r>
                <w:rPr>
                  <w:rStyle w:val="af0"/>
                  <w:color w:val="000000"/>
                  <w:sz w:val="24"/>
                  <w:szCs w:val="24"/>
                </w:rPr>
                <w:t>ГОСТ Р 58601</w:t>
              </w:r>
            </w:hyperlink>
            <w:r>
              <w:rPr>
                <w:color w:val="000000"/>
                <w:sz w:val="24"/>
                <w:szCs w:val="24"/>
              </w:rPr>
              <w:t>)</w:t>
            </w:r>
          </w:p>
          <w:p w:rsidR="00DF3903" w:rsidRDefault="00ED4771" w:rsidP="00AA6A1E">
            <w:pPr>
              <w:pStyle w:val="af7"/>
              <w:numPr>
                <w:ilvl w:val="0"/>
                <w:numId w:val="33"/>
              </w:numPr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передачу в Тульское РДУ файлов с данными регистрации аварийных событий в соответсвии с ГОСТ Р 59550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</w:t>
            </w:r>
            <w:hyperlink r:id="rId11" w:tooltip="&quot;ГОСТ Р 58601-2019 Единая энергетическая система и изолированно работающие энергосистемы ...&quot; (утв. приказом Росстандарта от 15.10.2019 N 995-ст) Применяется с 01.01.2020 Статус: Действующая редакция документа (действ. c 15.07.2022)" w:history="1"/>
          </w:p>
        </w:tc>
      </w:tr>
      <w:tr w:rsidR="00DF3903">
        <w:trPr>
          <w:trHeight w:val="80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Сбор данных для мониторинга функционирования устройств РЗА на ПС (нижний уровень АСМ РЗА)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 w:rsidP="000A64F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Определяется при проектировании устройствами </w:t>
            </w:r>
            <w:r w:rsidR="000A64F8">
              <w:rPr>
                <w:sz w:val="24"/>
                <w:szCs w:val="24"/>
              </w:rPr>
              <w:t>ПА</w:t>
            </w:r>
            <w:r>
              <w:rPr>
                <w:sz w:val="24"/>
                <w:szCs w:val="24"/>
              </w:rPr>
              <w:t xml:space="preserve"> (например, нарушение обмена данными </w:t>
            </w:r>
          </w:p>
        </w:tc>
      </w:tr>
      <w:tr w:rsidR="00DF3903">
        <w:trPr>
          <w:trHeight w:val="68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сбора и передачи телеинформации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903" w:rsidRDefault="00ED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Определяется при проектировании необходимость расширения (модернизации, замены) существующей системы ТМ (ССПИ).</w:t>
            </w:r>
          </w:p>
        </w:tc>
      </w:tr>
    </w:tbl>
    <w:p w:rsidR="00DF3903" w:rsidRDefault="00ED4771">
      <w:pPr>
        <w:pStyle w:val="10"/>
        <w:tabs>
          <w:tab w:val="left" w:pos="993"/>
          <w:tab w:val="left" w:pos="1795"/>
        </w:tabs>
        <w:spacing w:before="120" w:after="120"/>
        <w:ind w:left="0" w:firstLine="709"/>
      </w:pPr>
      <w:r>
        <w:rPr>
          <w:b w:val="0"/>
          <w:lang w:eastAsia="ar-SA"/>
        </w:rPr>
        <w:t>Сохранить существующее диспетчерское наименование: ПС 110 кВ Щегловская.</w:t>
      </w:r>
    </w:p>
    <w:p w:rsidR="00DF3903" w:rsidRDefault="00ED4771">
      <w:pPr>
        <w:pStyle w:val="aff0"/>
        <w:widowControl/>
        <w:numPr>
          <w:ilvl w:val="0"/>
          <w:numId w:val="11"/>
        </w:numPr>
        <w:tabs>
          <w:tab w:val="clear" w:pos="1730"/>
          <w:tab w:val="num" w:pos="710"/>
          <w:tab w:val="left" w:pos="993"/>
        </w:tabs>
        <w:spacing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содержанию проектно-сметной документации.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0" w:firstLine="71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Перечень инвестиционных проектов, работ и программ, с которыми требуется координация решений проектной документации:</w:t>
      </w:r>
    </w:p>
    <w:p w:rsidR="00DF3903" w:rsidRDefault="00ED4771">
      <w:pPr>
        <w:pStyle w:val="aff0"/>
        <w:widowControl/>
        <w:numPr>
          <w:ilvl w:val="0"/>
          <w:numId w:val="14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перевооружение ПС 220 кВ Химическая, ПС 220 кВ Люторичи, ПС 220 кВ Тула в части оснащения пятью устройствами АОПО для технологического присоединения электроустановок филиала ПАО «Россети Центр и Приволжье» - «Тулэнерго»;</w:t>
      </w:r>
    </w:p>
    <w:p w:rsidR="00DF3903" w:rsidRDefault="00ED4771">
      <w:pPr>
        <w:pStyle w:val="aff0"/>
        <w:widowControl/>
        <w:numPr>
          <w:ilvl w:val="0"/>
          <w:numId w:val="14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перевооружение ПС 220 кВ Бегичево в части оснащения двумя устройствами АОПО для технологического присоединения энергопринимающих устройств ООО «ЧЕРКИЗОВО ТЭК»;</w:t>
      </w:r>
    </w:p>
    <w:p w:rsidR="00DF3903" w:rsidRDefault="00ED4771">
      <w:pPr>
        <w:pStyle w:val="aff0"/>
        <w:widowControl/>
        <w:numPr>
          <w:ilvl w:val="0"/>
          <w:numId w:val="14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ПС 110/10 кВ в рамках технологического присоединения электрооборудования комплексной многоэтажной жилой застройки «Красные ворота» мощностью 2х25 МВА в интересах заявителя АО специализированный застройщик «Внешстрой»;</w:t>
      </w:r>
    </w:p>
    <w:p w:rsidR="00DF3903" w:rsidRDefault="00ED4771">
      <w:pPr>
        <w:pStyle w:val="aff0"/>
        <w:widowControl/>
        <w:numPr>
          <w:ilvl w:val="0"/>
          <w:numId w:val="14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6B423F">
        <w:rPr>
          <w:sz w:val="24"/>
          <w:szCs w:val="24"/>
        </w:rPr>
        <w:t>АО «Тулачермет». «Цех № 16 (ТЭЦ-ПВС). Трансформатор Т4С</w:t>
      </w:r>
      <w:r>
        <w:rPr>
          <w:sz w:val="24"/>
          <w:szCs w:val="24"/>
        </w:rPr>
        <w:t>;</w:t>
      </w:r>
    </w:p>
    <w:p w:rsidR="00DF3903" w:rsidRPr="002123CE" w:rsidRDefault="00272D3C" w:rsidP="002123CE">
      <w:pPr>
        <w:pStyle w:val="aff0"/>
        <w:widowControl/>
        <w:numPr>
          <w:ilvl w:val="0"/>
          <w:numId w:val="14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 w:rsidRPr="00272D3C">
        <w:rPr>
          <w:sz w:val="24"/>
          <w:szCs w:val="24"/>
        </w:rPr>
        <w:t>«Строительство устройств автоматики ограничения перегрузки оборудования»</w:t>
      </w:r>
      <w:r w:rsidRPr="00272D3C">
        <w:rPr>
          <w:sz w:val="24"/>
          <w:szCs w:val="24"/>
        </w:rPr>
        <w:br/>
        <w:t>для обеспечения технологического присоединения энергопринимающих устройств заявителя по договору об осуществлении технологического присоединения к электрическим сетям филиала ПАО «Россети Центр и Приволжье» - «Тулэнерго»</w:t>
      </w:r>
      <w:r w:rsidR="002123CE">
        <w:rPr>
          <w:sz w:val="24"/>
          <w:szCs w:val="24"/>
        </w:rPr>
        <w:t xml:space="preserve"> </w:t>
      </w:r>
      <w:r w:rsidR="002123CE" w:rsidRPr="002123CE">
        <w:rPr>
          <w:sz w:val="24"/>
          <w:szCs w:val="24"/>
        </w:rPr>
        <w:t>№ 711141242 от 23.10.2025</w:t>
      </w:r>
      <w:r w:rsidR="002123CE">
        <w:rPr>
          <w:sz w:val="24"/>
          <w:szCs w:val="24"/>
        </w:rPr>
        <w:t xml:space="preserve"> (АО Штамп)</w:t>
      </w:r>
      <w:r w:rsidR="00ED4771" w:rsidRPr="002123CE">
        <w:rPr>
          <w:sz w:val="24"/>
          <w:szCs w:val="24"/>
        </w:rPr>
        <w:t>;</w:t>
      </w:r>
    </w:p>
    <w:p w:rsidR="00DF3903" w:rsidRPr="00D26CBD" w:rsidRDefault="00D26CBD" w:rsidP="009B13DC">
      <w:pPr>
        <w:pStyle w:val="aff0"/>
        <w:widowControl/>
        <w:numPr>
          <w:ilvl w:val="0"/>
          <w:numId w:val="14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Технологическое присоединение АО «Комбайнмашстрой» (ТЗ/71/2025/299/1).</w:t>
      </w:r>
    </w:p>
    <w:p w:rsidR="00DF3903" w:rsidRDefault="00ED4771">
      <w:pPr>
        <w:pStyle w:val="af7"/>
        <w:numPr>
          <w:ilvl w:val="1"/>
          <w:numId w:val="11"/>
        </w:numPr>
        <w:ind w:left="6" w:firstLine="703"/>
        <w:rPr>
          <w:b/>
          <w:sz w:val="24"/>
          <w:szCs w:val="24"/>
        </w:rPr>
      </w:pPr>
      <w:r>
        <w:rPr>
          <w:b/>
          <w:sz w:val="24"/>
          <w:szCs w:val="24"/>
        </w:rPr>
        <w:t>Предпроектные обследования (для существующих объектов, объекта(-ов) реконструкции, объектов, технологически связанных с объектом строительства).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объекты).</w:t>
      </w:r>
    </w:p>
    <w:p w:rsidR="00DF3903" w:rsidRDefault="00ED4771">
      <w:pPr>
        <w:pStyle w:val="aff0"/>
        <w:spacing w:line="276" w:lineRule="auto"/>
        <w:ind w:left="0"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предпроектном обследовании объекта проектирования должна быть проведена оценка: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срока эксплуатации и состояния существующих зданий и сооружений, строительных конструкций, основного оборудования ПС;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состояния электромагнитной обстановки на объекте проектирования и на других действующих объектах, технологически связанных с объектом проектирования.</w:t>
      </w:r>
    </w:p>
    <w:p w:rsidR="00534845" w:rsidRDefault="00ED4771" w:rsidP="00806308">
      <w:pPr>
        <w:pStyle w:val="aff0"/>
        <w:widowControl/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При предпроектном обследовании оборудования ИТС и систем связи объекта проектирования и объектов, технологически связанных с объектом проектирования, совместно с Тулэнерго определить и оценить: </w:t>
      </w:r>
    </w:p>
    <w:p w:rsidR="00DF3903" w:rsidRDefault="00ED4771" w:rsidP="00806308">
      <w:pPr>
        <w:pStyle w:val="aff0"/>
        <w:widowControl/>
        <w:numPr>
          <w:ilvl w:val="0"/>
          <w:numId w:val="34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состав, размещение, срок эксплуатации и техническое состояние существующих устройств РЗА в сети, прилегающей к объекту проектирования, в том числе оценить необходимость реконструкции на ПС 110 кВ Стечкин, ПС 110 кВ Кировская, ПС 110 кВ Щегловская;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виды, объемы и места реализации управляющих воздействий (отключение нагрузки, оборудования и т.п.) от устройств и комплексов ПА;</w:t>
      </w:r>
    </w:p>
    <w:p w:rsidR="00DF3903" w:rsidRDefault="00ED4771" w:rsidP="00534845">
      <w:pPr>
        <w:pStyle w:val="af7"/>
        <w:numPr>
          <w:ilvl w:val="0"/>
          <w:numId w:val="16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схему и состав существующей сети связи, включая резервные каналы связи, для систем диспетчерского и технологического управления (СДТУ) на объекте строительства и в прилегающей сети с отражением используемых каналов связи (ВОЛС, ВЧ, другое) для передачи сигналов и команд РЗ, ПА и РА, передачи в центры управления сетями (ЦУС) и в ДЦ АО «СО ЕЭС» информации систем РАСП, телеинформации и организации телефонной связи для оперативных переговоров;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существующие АСУ ТП (ССПИ, ТМ) на предмет достаточности и необходимости их модернизации</w:t>
      </w:r>
      <w:r w:rsidR="00534845">
        <w:rPr>
          <w:sz w:val="24"/>
          <w:szCs w:val="24"/>
        </w:rPr>
        <w:t>;</w:t>
      </w:r>
    </w:p>
    <w:p w:rsidR="00DF3903" w:rsidRDefault="00ED4771" w:rsidP="00534845">
      <w:pPr>
        <w:pStyle w:val="aff0"/>
        <w:widowControl/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отклонения (при наличии) от требований селективности, быстродействия и чувствительности устройств РЗ в существующей сети;</w:t>
      </w:r>
    </w:p>
    <w:p w:rsidR="00DF3903" w:rsidRPr="00534845" w:rsidRDefault="00ED4771" w:rsidP="00806308">
      <w:pPr>
        <w:pStyle w:val="aff0"/>
        <w:widowControl/>
        <w:numPr>
          <w:ilvl w:val="0"/>
          <w:numId w:val="16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существующую ПТК АСУ ТП на предмет достаточности и необходимости их модернизации.</w:t>
      </w:r>
    </w:p>
    <w:p w:rsidR="00DF3903" w:rsidRDefault="00ED4771">
      <w:pPr>
        <w:pStyle w:val="aff0"/>
        <w:widowControl/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Для всех измеряемых параметров и применяемых на объекте СИ, включая измерительные каналы информационно-измерительных систем, необходимо определить: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полноту перечня измеряемых параметров и соответствие погрешности их измерений установленным (действующим) нормам, отнесение измерений к сфере Государственного регулирования обеспечения единства измерений;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перечень, размещение и условия эксплуатации СИ, применяемых для измерения параметров;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соответствие технических и метрологических характеристик СИ установленным (действующим) требованиям к нормам точности измерений;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соответствие параметров и технического состояния цепей измерений, включая вторичные цепи, установленным требованиям;</w:t>
      </w:r>
    </w:p>
    <w:p w:rsidR="00DF3903" w:rsidRDefault="00ED4771">
      <w:pPr>
        <w:pStyle w:val="aff0"/>
        <w:widowControl/>
        <w:numPr>
          <w:ilvl w:val="0"/>
          <w:numId w:val="16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необходимость замены, модернизации СИ, измерительных комплексов.</w:t>
      </w:r>
    </w:p>
    <w:p w:rsidR="00DF3903" w:rsidRDefault="00ED4771">
      <w:pPr>
        <w:pStyle w:val="aff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предпроектного обследования согласовать с филиалом ПАО «Россети Центр и Приволжье» - «Тулэнерго», филиалом ПАО «Россети» - Приокское предприятие магистральных электрических сетей, Филиалом АО «СО ЕЭС» Тульское РДУ, АО «Тулачермет», филиалом АО «РИР Энерго» - «Орловская генерация».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Предпроектное обследование проводится проектной организацией самостоятельно с выездом специалистов на объект проектирования. Заказчик обеспечивает доступ на объект и оказывает необходимое содействие в сборе исходных данных.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 с результатами предпроектного обследования оформить отдельным томом с учетом требований Распоряжения ОАО «ФСК ЕЭС» от 25.05.2015 № 270р «Об утверждении </w:t>
      </w:r>
      <w:r>
        <w:rPr>
          <w:sz w:val="24"/>
          <w:szCs w:val="24"/>
        </w:rPr>
        <w:lastRenderedPageBreak/>
        <w:t>требований ОАО «ФСК ЕЭС» к содержанию отчетов по результатам предпроектного обследования объектов реконструкции».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ПСД: проектной документации (пояснительной записки в соответствии с требованиями Постановления Правительства РФ № 87, рабочей документации (в соответствии с требованиями </w:t>
      </w:r>
      <w:hyperlink r:id="rId12" w:tooltip="&quot;ГОСТ Р 21.101-2020 Система проектной документации для строительства ...&quot;(утв. приказом Росстандарта от 23.06.2020 N 282-ст)Применяется с ...Статус: Действующий документ. Применяется для целей технического регламента (действ. c 01.01.2021)" w:history="1">
        <w:r>
          <w:rPr>
            <w:sz w:val="24"/>
            <w:szCs w:val="24"/>
          </w:rPr>
          <w:t>ГОСТ Р 21.101-2020</w:t>
        </w:r>
      </w:hyperlink>
      <w:r>
        <w:rPr>
          <w:sz w:val="24"/>
          <w:szCs w:val="24"/>
        </w:rPr>
        <w:t xml:space="preserve"> и другой действующей НТД), сметной документации. 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Согласование ПД с Заказчиком, заинтересованными сторонами и надзорными органами (при необходимости, при соответствующем обосновании).</w:t>
      </w:r>
    </w:p>
    <w:p w:rsidR="00DF3903" w:rsidRDefault="00ED4771">
      <w:pPr>
        <w:pStyle w:val="af7"/>
        <w:numPr>
          <w:ilvl w:val="1"/>
          <w:numId w:val="11"/>
        </w:numPr>
        <w:shd w:val="clear" w:color="auto" w:fill="FFFFFF" w:themeFill="background1"/>
        <w:tabs>
          <w:tab w:val="left" w:pos="-4680"/>
          <w:tab w:val="left" w:pos="1080"/>
          <w:tab w:val="left" w:pos="1418"/>
        </w:tabs>
        <w:ind w:left="6" w:firstLine="70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этап проектирования «Разработка, обоснование и согласование с филиалом ПАО «Россети Центр и Приволжье» - «Тулэнерго», филиалом ПАО «Россети» - Приокское предприятие магистральных электрических сетей, Филиалом АО «СО ЕЭС» Тульское РДУ, Филиалом АО «РИР Энерго» - «Орловская генерация», АО «Тулачермет» и с субъектами электроэнергетики - собственниками энергообъектов, технологически связанных с объектом проектирования ОТР по проектируемому объекту.</w:t>
      </w:r>
    </w:p>
    <w:p w:rsidR="00DF3903" w:rsidRDefault="00ED4771">
      <w:pPr>
        <w:shd w:val="clear" w:color="auto" w:fill="FFFFFF" w:themeFill="background1"/>
        <w:tabs>
          <w:tab w:val="left" w:pos="-4680"/>
          <w:tab w:val="left" w:pos="1080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этапе проектирования разработать следующие разделы документации: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Балансы и режимы:</w:t>
      </w:r>
    </w:p>
    <w:p w:rsidR="00DF3903" w:rsidRDefault="00ED4771">
      <w:pPr>
        <w:widowControl/>
        <w:spacing w:line="276" w:lineRule="auto"/>
        <w:ind w:firstLine="709"/>
        <w:jc w:val="both"/>
        <w:rPr>
          <w:bCs/>
          <w:iCs/>
          <w:sz w:val="24"/>
          <w:szCs w:val="24"/>
          <w:lang w:eastAsia="ar-SA"/>
        </w:rPr>
      </w:pPr>
      <w:r w:rsidRPr="00806308">
        <w:rPr>
          <w:b/>
          <w:bCs/>
          <w:iCs/>
          <w:sz w:val="24"/>
          <w:szCs w:val="24"/>
          <w:lang w:eastAsia="ar-SA"/>
        </w:rPr>
        <w:t>6.3.1.1.</w:t>
      </w:r>
      <w:r>
        <w:rPr>
          <w:bCs/>
          <w:iCs/>
          <w:sz w:val="24"/>
          <w:szCs w:val="24"/>
          <w:lang w:eastAsia="ar-SA"/>
        </w:rPr>
        <w:t xml:space="preserve"> В разделе должны быть приведены результаты анализа прогнозных балансов мощности энергосистемы Тульской области на </w:t>
      </w:r>
      <w:r>
        <w:rPr>
          <w:sz w:val="24"/>
          <w:szCs w:val="24"/>
          <w:lang w:eastAsia="ar-SA"/>
        </w:rPr>
        <w:t>Расчетный период</w:t>
      </w:r>
      <w:r>
        <w:rPr>
          <w:bCs/>
          <w:iCs/>
          <w:sz w:val="24"/>
          <w:szCs w:val="24"/>
          <w:lang w:eastAsia="ar-SA"/>
        </w:rPr>
        <w:t xml:space="preserve"> для характерных режимов, указанных в пункте </w:t>
      </w:r>
      <w:r w:rsidRPr="007C7598">
        <w:rPr>
          <w:bCs/>
          <w:iCs/>
          <w:sz w:val="24"/>
          <w:szCs w:val="24"/>
          <w:lang w:eastAsia="ar-SA"/>
        </w:rPr>
        <w:t>6.</w:t>
      </w:r>
      <w:r w:rsidR="006B423F" w:rsidRPr="00806308">
        <w:rPr>
          <w:bCs/>
          <w:iCs/>
          <w:sz w:val="24"/>
          <w:szCs w:val="24"/>
          <w:lang w:eastAsia="ar-SA"/>
        </w:rPr>
        <w:t>3</w:t>
      </w:r>
      <w:r w:rsidRPr="007C7598">
        <w:rPr>
          <w:bCs/>
          <w:iCs/>
          <w:sz w:val="24"/>
          <w:szCs w:val="24"/>
          <w:lang w:eastAsia="ar-SA"/>
        </w:rPr>
        <w:t>.</w:t>
      </w:r>
      <w:r w:rsidR="006B423F" w:rsidRPr="00806308">
        <w:rPr>
          <w:bCs/>
          <w:iCs/>
          <w:sz w:val="24"/>
          <w:szCs w:val="24"/>
          <w:lang w:eastAsia="ar-SA"/>
        </w:rPr>
        <w:t>1</w:t>
      </w:r>
      <w:r w:rsidRPr="007C7598">
        <w:rPr>
          <w:bCs/>
          <w:iCs/>
          <w:sz w:val="24"/>
          <w:szCs w:val="24"/>
          <w:lang w:eastAsia="ar-SA"/>
        </w:rPr>
        <w:t>.</w:t>
      </w:r>
      <w:r w:rsidR="006B423F" w:rsidRPr="00806308">
        <w:rPr>
          <w:bCs/>
          <w:iCs/>
          <w:sz w:val="24"/>
          <w:szCs w:val="24"/>
          <w:lang w:eastAsia="ar-SA"/>
        </w:rPr>
        <w:t>2</w:t>
      </w:r>
      <w:r w:rsidRPr="007C7598">
        <w:rPr>
          <w:bCs/>
          <w:iCs/>
          <w:sz w:val="24"/>
          <w:szCs w:val="24"/>
          <w:lang w:eastAsia="ar-SA"/>
        </w:rPr>
        <w:t>.</w:t>
      </w:r>
      <w:r>
        <w:rPr>
          <w:bCs/>
          <w:iCs/>
          <w:sz w:val="24"/>
          <w:szCs w:val="24"/>
          <w:lang w:eastAsia="ar-SA"/>
        </w:rPr>
        <w:t xml:space="preserve"> настоящего задания на проектирования для соответствующих температур с учетом требований разделов V, VII Методических указаний по проектированию, утвержденных приказом Минэнерго России от 06.12.2022 № 1286 (далее – Методические указания по проектированию).</w:t>
      </w:r>
    </w:p>
    <w:p w:rsidR="00DF3903" w:rsidRDefault="00ED4771">
      <w:pPr>
        <w:widowControl/>
        <w:spacing w:line="276" w:lineRule="auto"/>
        <w:ind w:firstLine="709"/>
        <w:jc w:val="both"/>
        <w:rPr>
          <w:bCs/>
          <w:iCs/>
          <w:sz w:val="24"/>
          <w:szCs w:val="24"/>
          <w:lang w:eastAsia="ar-SA"/>
        </w:rPr>
      </w:pPr>
      <w:r>
        <w:rPr>
          <w:bCs/>
          <w:iCs/>
          <w:sz w:val="24"/>
          <w:szCs w:val="24"/>
          <w:lang w:eastAsia="ar-SA"/>
        </w:rPr>
        <w:t>Расчетный период – каждый год периода, начиная с заявленной даты ввода в эксплуатацию энергопринимающих устройств Авилушкиной О.В., АО «Тулачермет», АО «СЗ «Внешстрой» и до последнего года расчетного периода на который разработана Схема и программа развития электроэнергетических систем России (далее – СиПР ЭЭС России), актуальная на момент разработки проектной документации.</w:t>
      </w:r>
    </w:p>
    <w:p w:rsidR="00DF3903" w:rsidRDefault="00ED4771">
      <w:pPr>
        <w:widowControl/>
        <w:spacing w:line="276" w:lineRule="auto"/>
        <w:ind w:firstLine="709"/>
        <w:jc w:val="both"/>
        <w:rPr>
          <w:sz w:val="24"/>
          <w:szCs w:val="24"/>
          <w:lang w:eastAsia="ar-SA"/>
        </w:rPr>
      </w:pPr>
      <w:r>
        <w:rPr>
          <w:bCs/>
          <w:iCs/>
          <w:sz w:val="24"/>
          <w:szCs w:val="24"/>
          <w:lang w:eastAsia="ar-SA"/>
        </w:rPr>
        <w:t>В разделе должны быть приведены режимно-балансовые показатели работы рассматриваемой энергосистемы (энергорайона), в том числе потребление энергосистемы (энергорайона) и величины загрузки генерирующего оборудования электростанций, а также перечень учитываемых мероприятий по развитию электросетевых и генерирующих объектов (включая мероприятия по выводу из эксплуатации) с указанием срока их реализации, технических параметров и обосновывающих документов (схемы и программы развития электроэнергетики, инвестиционные программы, технические условия на технологическое присоединение, планы собственников, заключения о возможности вывода из эксплуатации и т.п.).</w:t>
      </w:r>
    </w:p>
    <w:p w:rsidR="00DF3903" w:rsidRDefault="00ED4771">
      <w:pPr>
        <w:widowControl/>
        <w:ind w:firstLine="709"/>
        <w:jc w:val="both"/>
        <w:rPr>
          <w:bCs/>
          <w:iCs/>
          <w:sz w:val="24"/>
          <w:szCs w:val="24"/>
          <w:lang w:eastAsia="ar-SA"/>
        </w:rPr>
      </w:pPr>
      <w:r w:rsidRPr="00806308">
        <w:rPr>
          <w:b/>
          <w:bCs/>
          <w:iCs/>
          <w:sz w:val="24"/>
          <w:szCs w:val="24"/>
          <w:lang w:eastAsia="ar-SA"/>
        </w:rPr>
        <w:t>6.3.1.2.</w:t>
      </w:r>
      <w:r>
        <w:rPr>
          <w:bCs/>
          <w:iCs/>
          <w:sz w:val="24"/>
          <w:szCs w:val="24"/>
          <w:lang w:eastAsia="ar-SA"/>
        </w:rPr>
        <w:t xml:space="preserve"> В разделе должны быть выполнены расчеты установившихся электроэнергетических режимов раздельно для каждого заявителя</w:t>
      </w:r>
      <w:r w:rsidR="000A3714" w:rsidRPr="000A3714">
        <w:rPr>
          <w:bCs/>
          <w:iCs/>
          <w:sz w:val="24"/>
          <w:szCs w:val="24"/>
          <w:lang w:eastAsia="ar-SA"/>
        </w:rPr>
        <w:t xml:space="preserve"> (</w:t>
      </w:r>
      <w:r w:rsidR="000A3714">
        <w:rPr>
          <w:bCs/>
          <w:iCs/>
          <w:sz w:val="24"/>
          <w:szCs w:val="24"/>
          <w:lang w:eastAsia="ar-SA"/>
        </w:rPr>
        <w:t>Авилушкина О.В., АО «Тулачермет»</w:t>
      </w:r>
      <w:r w:rsidR="000A3714" w:rsidRPr="000A3714">
        <w:rPr>
          <w:bCs/>
          <w:iCs/>
          <w:sz w:val="24"/>
          <w:szCs w:val="24"/>
          <w:lang w:eastAsia="ar-SA"/>
        </w:rPr>
        <w:t>)</w:t>
      </w:r>
      <w:r>
        <w:rPr>
          <w:bCs/>
          <w:iCs/>
          <w:sz w:val="24"/>
          <w:szCs w:val="24"/>
          <w:lang w:eastAsia="ar-SA"/>
        </w:rPr>
        <w:t>, указанного в пункте 6.3.1.1, с учетом коэффициента, учитывающего набор мощности в соответствии с требованием пункта 34 Методических указаний по проектированию развития энергосистем, утвержденных приказом Минэнерго России от 06.12.2022 № 1286 (далее - МУ по проектированию), при учете иных заявителей с учетом коэффициентов, указанных в Приложении № 2 к МУ по проектированию.</w:t>
      </w:r>
    </w:p>
    <w:p w:rsidR="00DF3903" w:rsidRDefault="00ED4771">
      <w:pPr>
        <w:widowControl/>
        <w:ind w:firstLine="709"/>
        <w:jc w:val="both"/>
        <w:rPr>
          <w:bCs/>
          <w:iCs/>
          <w:sz w:val="24"/>
          <w:szCs w:val="24"/>
          <w:lang w:eastAsia="ar-SA"/>
        </w:rPr>
      </w:pPr>
      <w:r>
        <w:rPr>
          <w:bCs/>
          <w:iCs/>
          <w:sz w:val="24"/>
          <w:szCs w:val="24"/>
          <w:lang w:eastAsia="ar-SA"/>
        </w:rPr>
        <w:t xml:space="preserve">В разделе должны быть приведены описание и результаты расчетов установившихся электроэнергетических режимов работы электрической сети 110 кВ  и выше, прилегающей к объектам проектирования на Расчетный период для нормальной и ремонтных схем, а также при нормативных возмущениях в указанных схемах в соответствии с МУ по проектированию и Требованиями к обеспечению надежности электроэнергетических систем, надежности и безопасности объектов </w:t>
      </w:r>
      <w:r>
        <w:rPr>
          <w:bCs/>
          <w:iCs/>
          <w:sz w:val="24"/>
          <w:szCs w:val="24"/>
          <w:lang w:eastAsia="ar-SA"/>
        </w:rPr>
        <w:lastRenderedPageBreak/>
        <w:t>электроэнергетики и энергопринимающих установок «Методические указания по устойчивости энергосистем», утвержденными приказом Минэнерго России от 03.08.2018 № 630 (далее - Методические указания по устойчивости).</w:t>
      </w:r>
    </w:p>
    <w:p w:rsidR="00DF3903" w:rsidRDefault="00ED4771">
      <w:pPr>
        <w:widowControl/>
        <w:spacing w:line="276" w:lineRule="auto"/>
        <w:ind w:firstLine="709"/>
        <w:jc w:val="both"/>
        <w:rPr>
          <w:bCs/>
          <w:iCs/>
          <w:sz w:val="24"/>
          <w:szCs w:val="24"/>
          <w:lang w:eastAsia="ar-SA"/>
        </w:rPr>
      </w:pPr>
      <w:r>
        <w:rPr>
          <w:bCs/>
          <w:iCs/>
          <w:sz w:val="24"/>
          <w:szCs w:val="24"/>
          <w:lang w:eastAsia="ar-SA"/>
        </w:rPr>
        <w:t>При анализе перспективных режимов работы электрической сети 110 кВ</w:t>
      </w:r>
      <w:r>
        <w:rPr>
          <w:bCs/>
          <w:iCs/>
          <w:sz w:val="24"/>
          <w:szCs w:val="24"/>
          <w:lang w:eastAsia="ar-SA"/>
        </w:rPr>
        <w:br/>
        <w:t xml:space="preserve">и выше, прилегающей к объектам проектирования, необходимо рассматривать режимы зимних максимумов потребления мощности, зимних минимумов потребления мощности, летних максимумов потребления мощности, летних минимумов потребления мощности для соответствующих температур, указанных в МУ по проектированию. </w:t>
      </w:r>
    </w:p>
    <w:p w:rsidR="00DF3903" w:rsidRDefault="00ED4771">
      <w:pPr>
        <w:widowControl/>
        <w:spacing w:line="276" w:lineRule="auto"/>
        <w:ind w:firstLine="709"/>
        <w:jc w:val="both"/>
        <w:rPr>
          <w:bCs/>
          <w:iCs/>
          <w:sz w:val="24"/>
          <w:szCs w:val="24"/>
          <w:lang w:eastAsia="ar-SA"/>
        </w:rPr>
      </w:pPr>
      <w:r>
        <w:rPr>
          <w:bCs/>
          <w:iCs/>
          <w:sz w:val="24"/>
          <w:szCs w:val="24"/>
          <w:lang w:eastAsia="ar-SA"/>
        </w:rPr>
        <w:t>При определении перегрузочной способности (авто</w:t>
      </w:r>
      <w:r>
        <w:rPr>
          <w:bCs/>
          <w:iCs/>
          <w:sz w:val="24"/>
          <w:szCs w:val="24"/>
          <w:lang w:eastAsia="ar-SA"/>
        </w:rPr>
        <w:noBreakHyphen/>
        <w:t>) трансформаторов необходимо учитывать срок их эксплуатации на Расчетный период.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Результаты расчетов должны включать в себя токовые нагрузки ЛЭП,</w:t>
      </w:r>
      <w:r>
        <w:rPr>
          <w:sz w:val="24"/>
          <w:szCs w:val="24"/>
          <w:lang w:eastAsia="ar-SA"/>
        </w:rPr>
        <w:br w:type="textWrapping" w:clear="all"/>
        <w:t xml:space="preserve">(авто-)трансформаторов </w:t>
      </w:r>
      <w:r>
        <w:rPr>
          <w:spacing w:val="-2"/>
          <w:sz w:val="24"/>
          <w:szCs w:val="24"/>
        </w:rPr>
        <w:t>и выключателей (в сравнении с длительно допустимыми или аварийно допустимыми токовыми нагрузками)</w:t>
      </w:r>
      <w:r>
        <w:rPr>
          <w:sz w:val="24"/>
          <w:szCs w:val="24"/>
          <w:lang w:eastAsia="ar-SA"/>
        </w:rPr>
        <w:t>, потокораспределение активной и реактивной мощности, уровни напряжения в сети 110 кВ и выше, уровни напряжения на шинах генераторного напряжения электростанций, загрузку контролируемых сечений по активной мощности, представленные в табличном виде и нанесенные на однолинейную схему замещения сети.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Таблицы должны содержать: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описание исходных схемно-режимных и режимно-балансовых условий;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описание рассмотренного аварийного возмущения;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учтенную при выполнении расчетов температуру наружного воздуха;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диспетчерские наименования объектов электроэнергетики (в том числе оборудования объектов электроэнергетики);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номера рисунков, отображающих графические результаты расчетов;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длительно допустимые значения токовой нагрузки (далее - ДДТН) ЛЭП, (авто-) трансформаторов, выключателей, разъединителей, ТТ, ВЧ-заградителей, ошиновок и т.д.;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аварийно допустимые в течение 20 минут значения токовой нагрузки (далее - АДТН) ЛЭП, (авто-) трансформаторов, выключателей, разъединителей, ТТ, ВЧ-заградителей, ошиновок и т.д.;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расчетные значения токовой нагрузки ЛЭП, (авто-) трансформаторов, выключателей, разъединителей, ТТ, ВЧ-заградителей, ошиновок и т.д.;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уровни напряжения на шинах объектов электроэнергетики;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загрузку контролируемых сечений по активной мощности, в том числе допустимые значения соответствующих контролируемых параметров для всех рассматриваемых схемно-режимных условий. 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Параметры электроэнергетического режима, выходящие за пределы допустимых значений, в таблице должны быть выделены цветом.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Графическое представление результатов расчета должно быть выполнено в цвете и содержать: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диспетчерские наименования объектов электроэнергетики;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значения перетоков в виде мощности (активной и реактивной) и тока по обоим концам каждого сетевого элемента (ветви); 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значения генерации/потребления активной и реактивной мощностей генераторов, СКРМ и нагрузки в узлах расчетной модели;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уровни напряжений в узлах расчетной модели;</w:t>
      </w:r>
    </w:p>
    <w:p w:rsidR="00DF3903" w:rsidRDefault="00ED4771">
      <w:pPr>
        <w:pStyle w:val="af7"/>
        <w:numPr>
          <w:ilvl w:val="0"/>
          <w:numId w:val="30"/>
        </w:numPr>
        <w:tabs>
          <w:tab w:val="left" w:pos="426"/>
          <w:tab w:val="left" w:pos="1080"/>
        </w:tabs>
        <w:spacing w:before="60"/>
        <w:ind w:left="0"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переток активной мощности в контролируемых сечениях с указанием наименования </w:t>
      </w:r>
      <w:r>
        <w:rPr>
          <w:sz w:val="24"/>
          <w:szCs w:val="24"/>
          <w:lang w:eastAsia="ar-SA"/>
        </w:rPr>
        <w:lastRenderedPageBreak/>
        <w:t>контролируемого сечения.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Провода ЛЭП, (авто-) трансформаторы, разъединители, ТТ, ВЧ-заградители, ошиновка и т.д. расчетная токовая нагрузка которых превышает длительно допустимые или аварийно допустимые значения, на графике должны быть выделены цветом.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Каждый рассмотренный электроэнергетический режим должен иметь уникальный в пределах проектной документации номер. Номера графических схем с результатами расчетов должны соответствовать номеру представленного электрического режима.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 основании результатов расчетов должны быть определены требования к параметрам вновь устанавливаемого оборудования ПС и ЛЭП, оценен объем необходимого электросетевого строительства, очередность ввода элементов электрической сети, определены мероприятия по обеспечению допустимых параметров электроэнергетического режима. Информация о наибольших расчетных токах электросетевого оборудования должна быть представлена по форме таблицы 1 приложения 4 к ТЗ.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случае превышения расчетными величинами допустимых значений параметров существующего оборудования электрической сети (провода ЛЭП, (авто-) трансформаторов, выключателей, разъединителей, ТТ, ВЧ-заградителей, ошиновок и т.д.), которое обусловлено реализацией настоящего инвестиционного проекта, предусмотреть необходимые мероприятия по усилению сети и/или реализации устройств ПА, исходя из требований МУ по проектированию,  вне зависимости от принадлежности объектов, с выделением тех мероприятий, необходимость которых обусловлена реализацией настоящего инвестиционного проекта. В явном виде указать мероприятия по усилению сети и/или реализации устройств ПА из числа определенных результатами расчетов, подлежащие выполнению в рамках инвестиционного проекта по настоящему заданию на проектирование.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 основании результатов расчетов установившихся электроэнергетических режимов должны быть определены принципы действия и состав устройств ПА, а также необходимые объемы управляющих воздействий ПА для обеспечения допустимых параметров электроэнергетического режима на Расчетный период.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Расчеты установившихся электроэнергетических режимов провести в том числе для условий, при которых перетоки в контролируемом сечении «Михайлов – Новомосковск (ВЛ 220 кВ Новомосковская ГРЭС – Михайловская) превентивно установлены на уровне максимально допустимых перетоков активной мощности.</w:t>
      </w:r>
    </w:p>
    <w:p w:rsidR="00DF3903" w:rsidRDefault="00ED4771">
      <w:pPr>
        <w:widowControl/>
        <w:spacing w:after="12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Рассмотреть возможность применения в качестве схемно-режимных мероприятий для исключения перегрузок электросетевого оборудования следующих мероприятий в соответствии с таблицей:</w:t>
      </w:r>
    </w:p>
    <w:tbl>
      <w:tblPr>
        <w:tblW w:w="10217" w:type="dxa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3963"/>
        <w:gridCol w:w="5387"/>
      </w:tblGrid>
      <w:tr w:rsidR="00DF3903">
        <w:trPr>
          <w:tblHeader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ind w:right="38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3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Причина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ind w:hanging="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Схемно-режимные мероприятия</w:t>
            </w:r>
          </w:p>
        </w:tc>
      </w:tr>
      <w:tr w:rsidR="00DF3903">
        <w:trPr>
          <w:trHeight w:val="834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ind w:right="38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Перегрузка ВЛ 110 кВ Алексинская ТЭЦ – Пушкинская с отпайкой на ПС Авангард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ПС 220 кВ Шипово отключение АТ-2 и/или на Алексинской ТЭЦ отключение В 110 кВ Т-33</w:t>
            </w:r>
          </w:p>
        </w:tc>
      </w:tr>
      <w:tr w:rsidR="00DF3903">
        <w:trPr>
          <w:trHeight w:val="703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ind w:right="38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Перегрузка ВЛ 110 кВ Пятницкая – Ясногорск и ВЛ 110 кВ Ожерелье – Пятницкая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ПС 110 кВ Ясногорск отключение ШСВ 110 кВ</w:t>
            </w:r>
          </w:p>
        </w:tc>
      </w:tr>
      <w:tr w:rsidR="00DF3903">
        <w:trPr>
          <w:trHeight w:val="1694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ind w:right="38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Перегрузка ВЛ 110 кВ Мценск – Плавск с отпайками и ВЛ 110 кВ Мценск – Чернь с отпайкой на ПС Коммаш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Щекинской ГРЭС одностороннее отключение ВЛ 110 кВ Щекинская ГРЭС – Плавск с отпайкой на ПС Смычка и ВЛ 110 кВ Щекинская ГРЭС – Лазарево или на ПС 110 кВ Плавск одностороннее отключение ВЛ 110 кВ Мценск – Плавск с отпайками и ВЛ 110 кВ Чернь – Плавск с отпайкой на ПС Скуратово</w:t>
            </w:r>
          </w:p>
        </w:tc>
      </w:tr>
      <w:tr w:rsidR="00DF3903">
        <w:trPr>
          <w:trHeight w:val="134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ind w:right="38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Перегрузка МВ 2 СШ ВЛ 220 кВ Каширская ГРЭС – Химическая на ПС 220 кВ Химическая или ВЛ 220 кВ Новомосковская ГРЭС – Химическая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Раздельная работа 1 СШ 220 кВ и 2 СШ 220 кВ Новомосковской ГРЭС</w:t>
            </w:r>
          </w:p>
        </w:tc>
      </w:tr>
      <w:tr w:rsidR="00DF3903">
        <w:trPr>
          <w:trHeight w:val="283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ind w:right="38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Перегрузка КС «Михайлов-Новомосковск»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Раздельная работа 1 СШ 220 кВ и 2 СШ 220 кВ Новомосковской ГРЭС или отключение ВЛ 220 кВ Новомосковская ГРЭС - Химическая</w:t>
            </w:r>
          </w:p>
        </w:tc>
      </w:tr>
    </w:tbl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Вышеуказанный перечень контролируемых сечений и схемно-режимных мероприятий не является исчерпывающим и подлежит уточнению (дополнению) в процессе выполнения работы.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 w:rsidRPr="00A41F71">
        <w:rPr>
          <w:b/>
          <w:sz w:val="24"/>
          <w:szCs w:val="24"/>
          <w:lang w:eastAsia="ar-SA"/>
        </w:rPr>
        <w:t>6.3.1.3.</w:t>
      </w:r>
      <w:r>
        <w:rPr>
          <w:sz w:val="24"/>
          <w:szCs w:val="24"/>
          <w:lang w:eastAsia="ar-SA"/>
        </w:rPr>
        <w:t xml:space="preserve"> </w:t>
      </w:r>
      <w:r>
        <w:rPr>
          <w:b/>
          <w:sz w:val="24"/>
          <w:szCs w:val="24"/>
          <w:lang w:eastAsia="ar-SA"/>
        </w:rPr>
        <w:t>«Регулирование напряжения и компенсация реактивной мощности».</w:t>
      </w:r>
    </w:p>
    <w:p w:rsidR="00DF3903" w:rsidRDefault="00ED4771">
      <w:pPr>
        <w:tabs>
          <w:tab w:val="left" w:pos="426"/>
          <w:tab w:val="left" w:pos="1080"/>
        </w:tabs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составе раздела должен быть выполнен анализ уровней напряжения на объекте проектирования и в прилегающей электрической сети напряжением 110 кВ и выше энергорайона, в том числе анализ уровня напряжения на стороне НН автотрансформаторов при регулировании напряжения устройствами РПН АТ во всем диапазоне,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напряжения, коэффициентов запасов устойчивости по напряжению в узлах нагрузки и качества электрической энергии (вид, количество, номинальные параметры и точки подключения СКРМ в районе размещения объекта проектирования) в соответствии с требованиями Методических указаний по проектированию развития энергосистем на Расчетный период, необходимость регулирования напряжения в сети с использованием РПН трансформаторов (автотрансформаторов), включая автоматическое изменение их коэффициента трансформации. При необходимости установки регулируемых СКРМ должны быть представлены соответствующие обосновывающие расчеты.</w:t>
      </w:r>
    </w:p>
    <w:p w:rsidR="00DF3903" w:rsidRDefault="00ED4771">
      <w:pPr>
        <w:tabs>
          <w:tab w:val="left" w:pos="426"/>
          <w:tab w:val="left" w:pos="1080"/>
        </w:tabs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разделе должна быть произведена проверка БСК (иных СКРМ, имеющих в своем составе БСК) на возможную перегрузку токами высших гармоник и отсутствие условий для возникновения резонансных явлений при исходных фактических значениях</w:t>
      </w:r>
      <w:r w:rsidR="00534845">
        <w:rPr>
          <w:sz w:val="24"/>
          <w:szCs w:val="24"/>
          <w:lang w:eastAsia="ar-SA"/>
        </w:rPr>
        <w:t>,</w:t>
      </w:r>
      <w:r>
        <w:rPr>
          <w:sz w:val="24"/>
          <w:szCs w:val="24"/>
          <w:lang w:eastAsia="ar-SA"/>
        </w:rPr>
        <w:t xml:space="preserve"> гармонических составляющих напряжения на шинах подстанции, к которой присоединяется БСК. Информация о фактических значениях показателей качества электроэнергии предоставляется Заказчиком.</w:t>
      </w:r>
    </w:p>
    <w:p w:rsidR="00DF3903" w:rsidRDefault="00ED4771">
      <w:pPr>
        <w:pStyle w:val="af7"/>
        <w:numPr>
          <w:ilvl w:val="1"/>
          <w:numId w:val="11"/>
        </w:numPr>
        <w:tabs>
          <w:tab w:val="left" w:pos="-3960"/>
          <w:tab w:val="left" w:pos="1276"/>
          <w:tab w:val="left" w:pos="1418"/>
        </w:tabs>
        <w:ind w:left="0" w:firstLine="710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</w:t>
      </w:r>
      <w:r>
        <w:rPr>
          <w:b/>
          <w:bCs/>
          <w:sz w:val="24"/>
          <w:szCs w:val="24"/>
        </w:rPr>
        <w:t xml:space="preserve"> этап проектирования «Подготовка</w:t>
      </w:r>
      <w:r>
        <w:rPr>
          <w:b/>
          <w:sz w:val="24"/>
          <w:szCs w:val="24"/>
        </w:rPr>
        <w:t xml:space="preserve"> </w:t>
      </w:r>
      <w:r w:rsidR="00003490">
        <w:rPr>
          <w:b/>
          <w:sz w:val="24"/>
          <w:szCs w:val="24"/>
        </w:rPr>
        <w:t xml:space="preserve">и </w:t>
      </w:r>
      <w:r>
        <w:rPr>
          <w:b/>
          <w:sz w:val="24"/>
          <w:szCs w:val="24"/>
        </w:rPr>
        <w:t>согласование проектной документации в соответствии с требованиями нормативно-технических документов».</w:t>
      </w:r>
    </w:p>
    <w:p w:rsidR="00DF3903" w:rsidRDefault="00ED4771">
      <w:pPr>
        <w:tabs>
          <w:tab w:val="left" w:pos="-3240"/>
          <w:tab w:val="left" w:pos="720"/>
          <w:tab w:val="left" w:pos="108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Подготовку проектной документации выполнить в соответствии с 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F3903" w:rsidRDefault="00ED4771">
      <w:pPr>
        <w:tabs>
          <w:tab w:val="left" w:pos="426"/>
          <w:tab w:val="left" w:pos="1080"/>
        </w:tabs>
        <w:spacing w:before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Проектная документация, выполненная на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этапе, должна быть согласована в требуемом объеме с филиалом ПАО «Россети Центр и Приволжье» - «Тулэнерго», филиалом ПАО «Россети» - Приокское предприятие магистральных электрических сетей, Филиалом АО «СО ЕЭС» Тульское РДУ, Филиалом АО «РИР Энерго» - «Орловская генерация», АО «Тулачермет»</w:t>
      </w:r>
      <w:r>
        <w:rPr>
          <w:b/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 xml:space="preserve">и с субъектами </w:t>
      </w:r>
      <w:r>
        <w:rPr>
          <w:sz w:val="24"/>
          <w:szCs w:val="24"/>
        </w:rPr>
        <w:lastRenderedPageBreak/>
        <w:t>электроэнергетики - собственниками энергообъектов, технологически связанных с объектом проектирования.</w:t>
      </w:r>
    </w:p>
    <w:p w:rsidR="00DF3903" w:rsidRDefault="00ED4771">
      <w:pPr>
        <w:pStyle w:val="af7"/>
        <w:widowControl/>
        <w:numPr>
          <w:ilvl w:val="2"/>
          <w:numId w:val="11"/>
        </w:numPr>
        <w:spacing w:line="276" w:lineRule="auto"/>
        <w:ind w:left="0" w:firstLine="709"/>
        <w:rPr>
          <w:sz w:val="28"/>
          <w:szCs w:val="20"/>
          <w:lang w:eastAsia="ar-SA"/>
        </w:rPr>
      </w:pPr>
      <w:r>
        <w:rPr>
          <w:b/>
          <w:bCs/>
          <w:iCs/>
          <w:sz w:val="24"/>
          <w:szCs w:val="24"/>
          <w:lang w:eastAsia="ar-SA"/>
        </w:rPr>
        <w:t>Для</w:t>
      </w:r>
      <w:r w:rsidR="0032645F">
        <w:rPr>
          <w:b/>
          <w:bCs/>
          <w:iCs/>
          <w:sz w:val="24"/>
          <w:szCs w:val="24"/>
          <w:lang w:eastAsia="ar-SA"/>
        </w:rPr>
        <w:t xml:space="preserve"> </w:t>
      </w:r>
      <w:r>
        <w:rPr>
          <w:b/>
          <w:bCs/>
          <w:iCs/>
          <w:sz w:val="24"/>
          <w:szCs w:val="24"/>
          <w:lang w:eastAsia="ar-SA"/>
        </w:rPr>
        <w:t>Алексинской ТЭЦ, ПС 220 кВ Химическая, ПС 220 кВ Тула выполнить/определить</w:t>
      </w:r>
      <w:r w:rsidR="002123CE">
        <w:rPr>
          <w:b/>
          <w:bCs/>
          <w:iCs/>
          <w:sz w:val="24"/>
          <w:szCs w:val="24"/>
          <w:lang w:eastAsia="ar-SA"/>
        </w:rPr>
        <w:t xml:space="preserve"> </w:t>
      </w:r>
      <w:r w:rsidR="000A64F8">
        <w:rPr>
          <w:b/>
          <w:bCs/>
          <w:iCs/>
          <w:sz w:val="24"/>
          <w:szCs w:val="24"/>
          <w:lang w:eastAsia="ar-SA"/>
        </w:rPr>
        <w:t xml:space="preserve">(уточнить в случае необходимости, основываясь на проектах </w:t>
      </w:r>
      <w:r w:rsidR="000A64F8" w:rsidRPr="00D60A6A">
        <w:rPr>
          <w:sz w:val="24"/>
          <w:szCs w:val="24"/>
        </w:rPr>
        <w:t>Техническое перевооружение ПС 220 кВ Химическая, ПС 220 кВ Люторичи, ПС 220 кВ Тула в части оснащения пятью устройствами АОПО для технологического присоединения электроустановок филиала ПАО «Россети Центр и Приволжье» - «Тулэнерго» М4-ПД-2/23-21/03/2023</w:t>
      </w:r>
      <w:r w:rsidR="000A64F8">
        <w:rPr>
          <w:sz w:val="24"/>
          <w:szCs w:val="24"/>
        </w:rPr>
        <w:t>)</w:t>
      </w:r>
      <w:r>
        <w:rPr>
          <w:iCs/>
          <w:sz w:val="24"/>
          <w:szCs w:val="24"/>
          <w:lang w:eastAsia="ar-SA"/>
        </w:rPr>
        <w:t>: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sz w:val="28"/>
          <w:szCs w:val="20"/>
          <w:lang w:eastAsia="ar-SA"/>
        </w:rPr>
      </w:pPr>
      <w:r>
        <w:rPr>
          <w:rFonts w:eastAsia="MS Mincho"/>
          <w:sz w:val="24"/>
          <w:szCs w:val="24"/>
          <w:lang w:eastAsia="ja-JP"/>
        </w:rPr>
        <w:t>схему распределения устройств ИТС, в т.ч. РЗА и СМ, по ТТ и ТН;</w:t>
      </w:r>
    </w:p>
    <w:p w:rsidR="00A41F71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решения (с обоснованием) по изменению (при необходимости) коэффициентов трансформации ТТ;</w:t>
      </w:r>
    </w:p>
    <w:p w:rsidR="00534845" w:rsidRPr="00A41F71" w:rsidRDefault="00ED4771" w:rsidP="00A41F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 w:rsidRPr="00A41F71">
        <w:rPr>
          <w:rFonts w:eastAsia="MS Mincho"/>
          <w:sz w:val="24"/>
          <w:szCs w:val="24"/>
          <w:lang w:eastAsia="ja-JP"/>
        </w:rPr>
        <w:t>технические решения по электромагнитной совместимости устройств ИТС и СС на проектируемом и смежных объектах для обеспечения благоприятной электромагнитной обстановки для микропроцессорных устройств релейной защиты в соответствии с требованиями «Методических указаний по определению электромагнитной обстановки и совместимости на электрических станциях и подстанциях» (СО 34.35.311-2004);</w:t>
      </w:r>
    </w:p>
    <w:p w:rsidR="00DF3903" w:rsidRPr="00534845" w:rsidRDefault="00ED4771" w:rsidP="00806308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Calibri"/>
          <w:sz w:val="24"/>
          <w:szCs w:val="24"/>
        </w:rPr>
      </w:pPr>
      <w:r w:rsidRPr="00534845">
        <w:rPr>
          <w:iCs/>
          <w:sz w:val="24"/>
          <w:szCs w:val="24"/>
          <w:lang w:eastAsia="ar-SA"/>
        </w:rPr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 том числе для ПС 110 кВ Щегловская, ПС 110 кВ Кировская, ПС 110 кВ Стечкин выполнить/определить: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схему электрическую принципиальную ПС;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схему распределения устройств ИТС, в т.ч. РЗА и СМ, по ТТ и ТН;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решения по координации изоляции, защите оборудования от перенапряжений, мероприятия по предотвращению феррорезонансных перенапряжений;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решения по ограничению токов КЗ (при необходимости);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решения (с обоснованием) по изменению (при необходимости) коэффициентов трансформации ТТ;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</w:tabs>
        <w:ind w:left="0" w:firstLine="709"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технические решения по электромагнитной совместимости устройств ИТС и СС на проектируемом и смежных объектах </w:t>
      </w:r>
      <w:r>
        <w:rPr>
          <w:rFonts w:eastAsia="MS Mincho"/>
          <w:bCs/>
          <w:sz w:val="24"/>
          <w:szCs w:val="24"/>
          <w:lang w:eastAsia="ja-JP"/>
        </w:rPr>
        <w:t>для обеспечения благоприятной электромагнитной обстановки для микропроцессорных устройств релейной защиты в соответствии с требованиями «Методических указаний по определению электромагнитной обстановки и совместимости на электрических станциях и подстанциях» (СО 34.35.311-2004)</w:t>
      </w:r>
      <w:r>
        <w:rPr>
          <w:rFonts w:eastAsia="MS Mincho"/>
          <w:sz w:val="24"/>
          <w:szCs w:val="24"/>
          <w:lang w:eastAsia="ja-JP"/>
        </w:rPr>
        <w:t>;</w:t>
      </w:r>
    </w:p>
    <w:p w:rsidR="00DF3903" w:rsidRDefault="00ED4771">
      <w:pPr>
        <w:numPr>
          <w:ilvl w:val="0"/>
          <w:numId w:val="19"/>
        </w:numPr>
        <w:tabs>
          <w:tab w:val="clear" w:pos="1070"/>
          <w:tab w:val="num" w:pos="0"/>
          <w:tab w:val="left" w:pos="540"/>
          <w:tab w:val="left" w:pos="1080"/>
          <w:tab w:val="left" w:pos="1134"/>
        </w:tabs>
        <w:ind w:left="0"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 части технических решений по РЗА и ИТС объекта проектирования и прилегающей сети с использованием микропроцессорных устройств, необходимо выполнить/определить: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6.4.3.1.</w:t>
      </w:r>
      <w:r>
        <w:rPr>
          <w:rFonts w:eastAsia="MS Mincho"/>
          <w:sz w:val="24"/>
          <w:szCs w:val="24"/>
          <w:lang w:eastAsia="ja-JP"/>
        </w:rPr>
        <w:t xml:space="preserve"> Схему распределения устройств информационно-технологических систем по ТТ и ТН (включая устройства РЗА, АСУ ТП (ССПИ), АИИС КУЭ, СМиУКЭ) на объекте проектирования и на объектах, технологически связанных с объектом проектирования (в объеме распределительного устройства с присоединениями, на которых создаются или модернизируются устройства РЗА) с отражением функций.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6.4.3.2.</w:t>
      </w:r>
      <w:r>
        <w:rPr>
          <w:rFonts w:eastAsia="MS Mincho"/>
          <w:sz w:val="24"/>
          <w:szCs w:val="24"/>
          <w:lang w:eastAsia="ja-JP"/>
        </w:rPr>
        <w:t xml:space="preserve"> Схемы организации цепей переменного напряжения на объекте проектирования.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6.4.3.3.</w:t>
      </w:r>
      <w:r>
        <w:rPr>
          <w:rFonts w:eastAsia="MS Mincho"/>
          <w:sz w:val="24"/>
          <w:szCs w:val="24"/>
          <w:lang w:eastAsia="ja-JP"/>
        </w:rPr>
        <w:t xml:space="preserve"> Мероприятия, исключающие необходимость вывода устройств РЗА, которые могут ложно сработать при проведении операций в их токовых цепях с помощью испытательных блоков из-</w:t>
      </w:r>
      <w:r>
        <w:rPr>
          <w:rFonts w:eastAsia="MS Mincho"/>
          <w:sz w:val="24"/>
          <w:szCs w:val="24"/>
          <w:lang w:eastAsia="ja-JP"/>
        </w:rPr>
        <w:lastRenderedPageBreak/>
        <w:t>за разности потенциалов между двумя точками заземления токовых цепей.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6.4.3.4.</w:t>
      </w:r>
      <w:r>
        <w:rPr>
          <w:rFonts w:eastAsia="MS Mincho"/>
          <w:sz w:val="24"/>
          <w:szCs w:val="24"/>
          <w:lang w:eastAsia="ja-JP"/>
        </w:rPr>
        <w:t xml:space="preserve"> Схему организации передачи сигналов и команд РЗА (ВОЛС, ВЧ каналы, другое) с учетом резервирования каналов, а также схему организации передачи доаварийной информации для ПА с учетом резервирования каналов.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6.4.3.5.</w:t>
      </w:r>
      <w:r>
        <w:rPr>
          <w:rFonts w:eastAsia="MS Mincho"/>
          <w:sz w:val="24"/>
          <w:szCs w:val="24"/>
          <w:lang w:eastAsia="ja-JP"/>
        </w:rPr>
        <w:t xml:space="preserve"> Ориентировочный расчет параметров срабатывания устройств РЗ с приложением карт уставок для: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обоснования количества состава устройств РЗ;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6.4.3.6.</w:t>
      </w:r>
      <w:r>
        <w:rPr>
          <w:rFonts w:eastAsia="MS Mincho"/>
          <w:sz w:val="24"/>
          <w:szCs w:val="24"/>
          <w:lang w:eastAsia="ja-JP"/>
        </w:rPr>
        <w:t xml:space="preserve"> Ориентировочный расчет параметров срабатывания устройств ПА для подтверждения принципов выполнения и уточнения количественного состава устройств, в т.ч. обоснования: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принципа выполнения и состава устройств и комплексов ПА, реализующих функцию предотвращения нарушения устойчивости (контролируемые сечения, пусковые органы, устройства контроля предшествующего режима, алгоритмы выбора управляющих воздействий и т.д.);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количественного состава устройств АОПО (применение термодатчика);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требуемого количества ступеней АОПО;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алгоритмов устройств ПА;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видов и объемов управляющих воздействий (ОГ, ОН и другие) и состава пусковых органов.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6.4.3.7.</w:t>
      </w:r>
      <w:r>
        <w:rPr>
          <w:rFonts w:eastAsia="MS Mincho"/>
          <w:sz w:val="24"/>
          <w:szCs w:val="24"/>
          <w:lang w:eastAsia="ja-JP"/>
        </w:rPr>
        <w:t xml:space="preserve"> Решения по регистрации аварийных событий и процессов с использованием РАСП (независимых устройств и функций, реализуемых в терминалах РЗА и оборудовании АСУ ТП объектов электроэнергетики), в том числе: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­ вид (тип) измеряемых и регистрируемых параметров;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­ регистрируемые сигналы (с указанием источника сигнала);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условия пуска (для обеспечения функции РАС) должны обеспечивать сбор информации, достаточной для обеспечения своевременного (оперативного) анализа аварийного процесса;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Решения по передаче данных системы РАС в филиал ПАО «Россети Центр и Приволжье» - «Тулэнерго»</w:t>
      </w:r>
      <w:r w:rsidR="00534845">
        <w:rPr>
          <w:rFonts w:eastAsia="MS Mincho"/>
          <w:sz w:val="24"/>
          <w:szCs w:val="24"/>
          <w:lang w:eastAsia="ja-JP"/>
        </w:rPr>
        <w:t>.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806308">
        <w:rPr>
          <w:rFonts w:eastAsia="MS Mincho"/>
          <w:b/>
          <w:sz w:val="24"/>
          <w:szCs w:val="24"/>
          <w:lang w:eastAsia="ja-JP"/>
        </w:rPr>
        <w:t>6.4.3.8.</w:t>
      </w:r>
      <w:r>
        <w:rPr>
          <w:rFonts w:eastAsia="MS Mincho"/>
          <w:sz w:val="24"/>
          <w:szCs w:val="24"/>
          <w:lang w:eastAsia="ja-JP"/>
        </w:rPr>
        <w:t xml:space="preserve"> Состав предоставляемых на согласование Тульскому РДУ материалов (оформляются отдельным(ми) томом(ами)):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а) схемы распределения устройств информационно-технологических систем по ТТ и ТН (включая устройства РЗА, АСУ ТП (ССПИ), АИИС КУЭ, СМиУКЭ) на объекте проектирования и на объектах, технологически связанных с объектом проектирования (в объеме распределительного устройства с присоединениями, на которых создаются или модернизируются устройства РЗА) с отражением функций;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б) функциональные блок схемы взаимодействия устройств РЗА между собой и с внешними устройствами, на которых в графическом виде должны быть представлены все коммуникации между устройствами РЗА, преобразователями аналоговых сигналов и преобразователями дискретных сигналов;</w:t>
      </w:r>
    </w:p>
    <w:p w:rsidR="00DF3903" w:rsidRDefault="00ED4771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в) ориентировочный расчет параметров срабатывания устройств РЗ, СА, ПА и необходимые для этого расчеты токов КЗ;</w:t>
      </w:r>
    </w:p>
    <w:p w:rsidR="00A640E0" w:rsidRDefault="00A640E0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г) </w:t>
      </w:r>
      <w:r w:rsidRPr="00A640E0">
        <w:rPr>
          <w:rFonts w:eastAsia="MS Mincho"/>
          <w:sz w:val="24"/>
          <w:szCs w:val="24"/>
          <w:lang w:eastAsia="ja-JP"/>
        </w:rPr>
        <w:t>расчет по определению времени до насыщения ТТ при КЗ для вновь устанавливаемых устройств РЗА в соответствии с ГОСТ Р 58669-2019, анализ и, при необходимости, разработка мероприятий по исключению неправильной работы функций вновь устанавливаемых устройств РЗА</w:t>
      </w:r>
      <w:r w:rsidR="00293A19">
        <w:rPr>
          <w:rFonts w:eastAsia="MS Mincho"/>
          <w:sz w:val="24"/>
          <w:szCs w:val="24"/>
          <w:lang w:eastAsia="ja-JP"/>
        </w:rPr>
        <w:t>;</w:t>
      </w:r>
      <w:bookmarkStart w:id="0" w:name="_GoBack"/>
      <w:bookmarkEnd w:id="0"/>
    </w:p>
    <w:p w:rsidR="00DF3903" w:rsidRDefault="00A640E0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д</w:t>
      </w:r>
      <w:r w:rsidR="00ED4771">
        <w:rPr>
          <w:rFonts w:eastAsia="MS Mincho"/>
          <w:sz w:val="24"/>
          <w:szCs w:val="24"/>
          <w:lang w:eastAsia="ja-JP"/>
        </w:rPr>
        <w:t xml:space="preserve">) решения по регистрации аварийных событий и процессов; </w:t>
      </w:r>
    </w:p>
    <w:p w:rsidR="00DF3903" w:rsidRDefault="00A640E0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е</w:t>
      </w:r>
      <w:r w:rsidR="00ED4771">
        <w:rPr>
          <w:rFonts w:eastAsia="MS Mincho"/>
          <w:sz w:val="24"/>
          <w:szCs w:val="24"/>
          <w:lang w:eastAsia="ja-JP"/>
        </w:rPr>
        <w:t>) решения по организации передачи сигналов и команд РЗА (ВОЛС, ВЧ каналы, другое) с учетом резервирования каналов, а также схему организации передачи доаварийной информации для ПА с учетом резервирования каналов;</w:t>
      </w:r>
    </w:p>
    <w:p w:rsidR="00DF3903" w:rsidRDefault="00A640E0">
      <w:pPr>
        <w:tabs>
          <w:tab w:val="left" w:pos="-4680"/>
          <w:tab w:val="left" w:pos="1276"/>
        </w:tabs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ж</w:t>
      </w:r>
      <w:r w:rsidR="00ED4771">
        <w:rPr>
          <w:rFonts w:eastAsia="MS Mincho"/>
          <w:sz w:val="24"/>
          <w:szCs w:val="24"/>
          <w:lang w:eastAsia="ja-JP"/>
        </w:rPr>
        <w:t xml:space="preserve">) решения по организации цепей оперативного тока устройств РЗА. 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 части технических решений по ССПИ выполнить/определить:</w:t>
      </w:r>
    </w:p>
    <w:p w:rsidR="00DF3903" w:rsidRDefault="00ED4771">
      <w:pPr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 w:rsidRPr="00806308">
        <w:rPr>
          <w:rFonts w:eastAsia="MS Mincho"/>
          <w:b/>
          <w:bCs/>
          <w:iCs/>
          <w:sz w:val="24"/>
          <w:szCs w:val="24"/>
          <w:lang w:eastAsia="ja-JP"/>
        </w:rPr>
        <w:t>6.4.4.1.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Перечень сигналов ТИ, ТС, АПТС в объеме вновь устанавливаемого оборудования для </w:t>
      </w:r>
      <w:r>
        <w:rPr>
          <w:rFonts w:eastAsia="MS Mincho"/>
          <w:bCs/>
          <w:iCs/>
          <w:sz w:val="24"/>
          <w:szCs w:val="24"/>
          <w:lang w:eastAsia="ja-JP"/>
        </w:rPr>
        <w:lastRenderedPageBreak/>
        <w:t>передачи в ЦУС Тулэнерго и Тульское РДУ, представить в виде таблицы, которая должна содержать:</w:t>
      </w:r>
    </w:p>
    <w:p w:rsidR="00DF3903" w:rsidRDefault="00ED4771">
      <w:pPr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­ диспетчерское наименование присоединения, системы (секции) шин;</w:t>
      </w:r>
    </w:p>
    <w:p w:rsidR="00DF3903" w:rsidRDefault="00ED4771">
      <w:pPr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­ перечень сигналов ТИ, ТС, АПТС, передаваемых в ЦУС;</w:t>
      </w:r>
    </w:p>
    <w:p w:rsidR="00DF3903" w:rsidRDefault="00ED4771">
      <w:pPr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­ перечень сигналов ТИ, ТС, АПТС, передаваемых в РДУ.</w:t>
      </w:r>
    </w:p>
    <w:p w:rsidR="00DF3903" w:rsidRDefault="00ED4771">
      <w:pPr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 w:rsidRPr="00806308">
        <w:rPr>
          <w:rFonts w:eastAsia="MS Mincho"/>
          <w:b/>
          <w:bCs/>
          <w:iCs/>
          <w:sz w:val="24"/>
          <w:szCs w:val="24"/>
          <w:lang w:eastAsia="ja-JP"/>
        </w:rPr>
        <w:t>6.4.4.2.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Перечень сигналов ТИ, ТС, АПТС должен определяться в соответствии с утвержденными СЭП проектируемых объектов и соответствовать стандарту организации </w:t>
      </w:r>
      <w:r>
        <w:rPr>
          <w:rFonts w:eastAsia="MS Mincho"/>
          <w:sz w:val="24"/>
          <w:szCs w:val="24"/>
          <w:lang w:eastAsia="ja-JP"/>
        </w:rPr>
        <w:t>филиала ПАО «Россети Центр и Приволжье» - «Тулэнерго»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«Выбор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управления», СТО 56947007-29.130.01.092-2011, типовым составом телеинформации на ПС, имеющих в своем составе объекты диспетчеризации, для передачи в ДЦ технических требований по организации обмена технологической информацией с ДЦ.</w:t>
      </w:r>
    </w:p>
    <w:p w:rsidR="00DF3903" w:rsidRDefault="00ED4771">
      <w:pPr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 w:rsidRPr="00806308">
        <w:rPr>
          <w:rFonts w:eastAsia="MS Mincho"/>
          <w:b/>
          <w:bCs/>
          <w:iCs/>
          <w:sz w:val="24"/>
          <w:szCs w:val="24"/>
          <w:lang w:eastAsia="ja-JP"/>
        </w:rPr>
        <w:t>6.4.4.3.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Решения по модернизации АРМ ОП ПС исходя из объема вновь вводимого оборудования.</w:t>
      </w:r>
    </w:p>
    <w:p w:rsidR="00DF3903" w:rsidRDefault="00ED4771">
      <w:pPr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 w:rsidRPr="00806308">
        <w:rPr>
          <w:rFonts w:eastAsia="MS Mincho"/>
          <w:b/>
          <w:bCs/>
          <w:iCs/>
          <w:sz w:val="24"/>
          <w:szCs w:val="24"/>
          <w:lang w:eastAsia="ja-JP"/>
        </w:rPr>
        <w:t>6.4.4.4.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Решения по передаче информации системы РАС в систему сбора неоперативной технологической информации (ССНТИ) АО «СО ЕЭС» и филиал ПАО «Россети Центр и Приволжье» - «Тулэнерго» с использованием. Принимаемые решения скоординировать с инвестиционными проектами, приведенные в п 6.1.</w:t>
      </w:r>
    </w:p>
    <w:p w:rsidR="00DF3903" w:rsidRDefault="00ED4771">
      <w:pPr>
        <w:shd w:val="clear" w:color="auto" w:fill="FFFFFF" w:themeFill="background1"/>
        <w:tabs>
          <w:tab w:val="left" w:pos="-4680"/>
          <w:tab w:val="left" w:pos="1080"/>
          <w:tab w:val="left" w:pos="1418"/>
        </w:tabs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 w:rsidRPr="00806308">
        <w:rPr>
          <w:rFonts w:eastAsia="MS Mincho"/>
          <w:b/>
          <w:bCs/>
          <w:iCs/>
          <w:sz w:val="24"/>
          <w:szCs w:val="24"/>
          <w:lang w:eastAsia="ja-JP"/>
        </w:rPr>
        <w:t>6.4.4.5.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Решения по интеграции вновь устанавливаемого и/или модернизируемого оборудования в АСУ ТП (ССПИ).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решения в части организации измерений и метрологического обеспечения.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 w:rsidRPr="00806308">
        <w:rPr>
          <w:rFonts w:eastAsia="MS Mincho"/>
          <w:b/>
          <w:bCs/>
          <w:iCs/>
          <w:sz w:val="24"/>
          <w:szCs w:val="24"/>
          <w:lang w:eastAsia="ja-JP"/>
        </w:rPr>
        <w:t>6.4.5.1.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Технические решения в части организации измерений и МО должны быть оформлены самостоятельным томом и содержать сводную ведомость с перечнем разделов по МО, входящих в состав проектной документации на отдельные системы (АИИС КУЭ, АСУ ТП (ССПИ)), а также на отдельные виды оборудования и инженерных систем ПС. При этом раздел по МО каждой из систем оформляется самостоятельным подразделом в составе проектной документации.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 w:rsidRPr="00806308">
        <w:rPr>
          <w:rFonts w:eastAsia="MS Mincho"/>
          <w:b/>
          <w:bCs/>
          <w:iCs/>
          <w:sz w:val="24"/>
          <w:szCs w:val="24"/>
          <w:lang w:eastAsia="ja-JP"/>
        </w:rPr>
        <w:t>6.4.5.2.</w:t>
      </w:r>
      <w:r>
        <w:rPr>
          <w:rFonts w:eastAsia="MS Mincho"/>
          <w:bCs/>
          <w:iCs/>
          <w:sz w:val="24"/>
          <w:szCs w:val="24"/>
          <w:lang w:eastAsia="ja-JP"/>
        </w:rPr>
        <w:t xml:space="preserve"> Решения по организации измерений электрических и неэлектрических величин, как входящих, так и не входящих в ИТС и их МО должны соответствовать НПА в соответствии с приложением 1 к ТЗ и включать: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перечень измеряемых параметров (для СИ, не входящих в измерительные системы) с указанием точки измерения и места установки СИ, принадлежности к сфере государственного регулирования, норм точности измерений и диапазона изменения параметра (в табличной форме);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перечень ИК (в табличной форме), входящих в состав измерительных систем (АИИС КУЭ, АСУ ТП (ССПИ)), с указанием принадлежности к сфере государственного регулирования, норм точности измерений, диапазона изменения параметра, компонентного состава ИК с привязкой к наименованиям на принципиальной электрической схеме;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условия эксплуатации СИ с указанием перечня внешних величин, влияющих на результат измерений (номинальные значения и диапазоны их изменения);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расчеты-обоснования по выбору технических и метрологических характеристик (МХ) СИ (включая обоснование (ориентировочные расчеты) выбора коэффициентов трансформации, классов точности, вторичных нагрузок и мощностей обмоток учета и измерений ТТ и ТН) и ИК;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требования к метрологическим и техническим характеристикам каждого СИ;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требования к конструктивному исполнению СИ, позволяющие проводить в процессе всего срока эксплуатации поверку, калибровку и ТОиР, при этом СИ, входящие в состав технических устройств и являющиеся их неотъемлемой частью, должны иметь возможность поверки/калибровки на месте эксплуатации без демонтажа или иметь межповерочный интервал, равный сроку службы оборудования, на котором оно установлено;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lastRenderedPageBreak/>
        <w:t>- требования к метрологическому обеспечению на всех этапах жизненного цикла, включая требования к разработке и аттестации методик измерений;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структурно-функциональные схемы включения СИ с указанием: входных цепей, выходных цепей, клеммных коробок, необходимых для оперативного ввода/вывода из работы, поверки, калибровки СИ;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расчет необходимого объема обменного фонда СИ, требуемого для неотложной замены аварийно вышедших из строя СИ, с указанием всех метрологических и технических характеристик;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расчет требуемого парка эталонов, рабочих СИ, необходимых для технического и эксплуатационного обслуживания объекта с указанием всех метрологических и технических характеристик;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требования к квалификации и расчет численности персонала, необходимого для метрологического обеспечения объекта.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Весь парк СИ (вновь устанавливаемые и заменяемые), обменный фонд СИ, эталоны и рабочие СИ, требуемые для технического и эксплуатационного обслуживания объекта, в полном объеме должны быть внесены в заказные спецификации.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Решения по МО измерений АСУ ТП (ССПИ) должны соответствовать настоящему ЗП и включать требования к комплексу мероприятий по МО на всех этапах жизненного цикла СИ: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разработка и аттестация в установленном порядке МИ для каждого вида измерений с группировкой по ИК идентичной структуры и нормированием МХ по каждому ИК;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метрологическая экспертиза технической документации;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утверждение типа АСУ ТП (ССПИ) как единичного экземпляра СИ (по ИК, относящихся к сфере государственного регулирования);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поверка/калибровка СИ, ИК;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разработка методики поверки/калибровки ИК;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оформление паспортов-протоколов по каждому ИК;</w:t>
      </w:r>
    </w:p>
    <w:p w:rsidR="00DF3903" w:rsidRDefault="00ED4771">
      <w:pPr>
        <w:shd w:val="clear" w:color="auto" w:fill="FFFFFF" w:themeFill="background1"/>
        <w:tabs>
          <w:tab w:val="left" w:pos="-4680"/>
          <w:tab w:val="left" w:pos="1080"/>
          <w:tab w:val="left" w:pos="1418"/>
        </w:tabs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метрологический надзор и контроль за применением СИ, ИК, АСУ ТП (ССПИ) в целом, аттестованными МИ в процессе эксплуатации.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Решения по электромагнитной совместимости устройств РЗА, АСУ ТП (ССПИ), АИИС КУЭ, СМиУКЭ, связи, обеспечивающих их нормальную работу, с отражением в отдельном разделе.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В разделе должны быть приведены обосновывающие расчеты, подтверждающие достаточность мероприятий, обеспечивающих нормальную работу устройств РЗА, АСУ ТП (ССПИ), АИИС КУЭ, СМиУКЭ, связи, с отражением, в том числе решений по: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заземляющему устройству объекта проектирования;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способам раскладки кабелей вторичных цепей и силовых, в т.ч. кабелей собственных нужд объекта проектирования;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молниезащите и обеспечению отсутствия ее влияния на устройства;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реализации, при необходимости, дополнительных мероприятий по обеспечению ЭМС при наличии внешних по отношению к объекту строительства мощных источников высокочастотных излучений, применению экранированных и/или неэкранированных кабелей во вторичных цепях для подключения устройств и другие.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В разделе должны быть приведены обосновывающие расчеты, подтверждающие достаточность мероприятий, предусмотренных проектом, по обеспечению требований ЭМС.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Решения по метрологическому обеспечению АИИС КУЭ должны соответствовать техническим требованиям оптового рынка и включать требования к комплексу мероприятий по МО на всех этапах жизненного цикла АИИС КУЭ: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lastRenderedPageBreak/>
        <w:t>- метрологическая экспертиза проектной документации;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проведение испытаний с целью утверждения типа единичного экземпляра СИ и внесению АИИС КУЭ в Федеральный реестр СИ с получением Свидетельства об утверждении типа СИ по ИК, относящимся к сфере государственного регулирования;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проведение поверки СИ, ИК (по ИК, относящимся к сфере государственного регулирования) АИИС КУЭ, проведение калибровки СИ, ИК (по ИК, не относящимся к сфере государственного регулирования);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оформление паспортов-протоколов на измерительные комплексы (по ИК, относящимся к сфере государственного регулирования, паспорта-протоколы оформляются в соответствии с требованиями приложения № 11.3 к Положению о порядке получения статуса субъекта оптового рынка и ведения реестра субъектов оптового рынка);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разработка и аттестация в установленном порядке МИ (по всем ИК) и внесение МИ в Федеральный реестр МИ (по ИК, относящимся к сфере государственного регулирования);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метрологический надзор и контроль за применением СИ, ИК, АИИС КУЭ в целом, аттестованных МИ в процессе эксплуатации.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Решения по организации измерений, не входящих в состав ИТС, должны соответствовать требованиям ЗП и включать требования к комплексу мероприятий на всех этапах жизненного цикла СИ: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поверка (для СИ, применяемых в сфере государственного регулирования);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калибровка (для СИ, применяемых вне сферы государственного регулирования);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разработка и аттестация в установленном порядке МИ (за исключением прямых измерений);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оформление паспортов-протоколов на измерительные комплексы;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метрологическая экспертиза технической документации;</w:t>
      </w:r>
    </w:p>
    <w:p w:rsidR="00DF3903" w:rsidRDefault="00ED4771">
      <w:pPr>
        <w:shd w:val="clear" w:color="auto" w:fill="FFFFFF" w:themeFill="background1"/>
        <w:tabs>
          <w:tab w:val="left" w:pos="-4680"/>
          <w:tab w:val="left" w:pos="1080"/>
          <w:tab w:val="left" w:pos="1418"/>
        </w:tabs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метрологический надзор и контроль за применением СИ, ИК, АСУ ТП в целом, аттестованными МИ в процессе эксплуатации.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Решения по организации электропитания устройств РЗА, АСУ ТП (ССПИ), СМиУКЭ, систем связи, АИИС КУЭ и других систем (с учетом размещения устройств преобразования дискретных и аналоговых сигналов в непосредственной близости к первичному оборудованию), включая: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таблицы потребителей сети собственных нужд 0,4 кВ и постоянного оперативного тока и их характеристики;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определение емкости и количества элементов аккумуляторной батареи (АБ) и параметров ЗПА;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схемы сети постоянного оперативного тока и собственных нужд 0,4 кВ, включая схемы ЩПТ и ЩСН, в том числе решения по организации ШРОТ с распределением подключения устройств РЗА, соленоидов управления выключателями, РАСП и других электроприемников;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ориентировочные расчеты токов КЗ в сетях собственных нужд и постоянного оперативного тока (с использованием специализированных программ);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выполнение защиты сетей постоянного оперативного тока и собственных нужд;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построение карт селективности защитных аппаратов сети 0,4 кВ и постоянного оперативного тока (с использованием специализированных программ);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контроль состояния АБ и сети постоянного оперативного тока, включая устройства автоматического и автоматизированного поиска «земли»;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организация непрерывного мониторинга состояния системы гарантированного электропитания устройств АСТУ/СДТУ с функцией оповещения оперативного персонала объекта электроэнергетики об аварийных отклонениях в режиме работы системы гарантированного электропитания;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</w:t>
      </w:r>
      <w:r>
        <w:rPr>
          <w:sz w:val="24"/>
          <w:szCs w:val="24"/>
        </w:rPr>
        <w:t>редварительный расчет объема кабельной продукции (с учетом аварийного резерва).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Раздел «Перечень мероприятий по охране окружающей среды» оформить отдельным томом. При нахождении объектов строительства/реконструкции на землях особо-охраняемых природных территорий, а также при прокладке подводных кабелей во внутренних морских водах и территориальном море Российской Федерации, подраздел «Оценка воздействия на окружающую среду» оформить отдельным томом.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Раздел «Мероприятия по обеспечению пожарной безопасности» выполнить в соответствии с действующими нормативными правовыми актами Российской Федерации, стандартами организации ПАО «ФСК ЕЭС», ПАО «Россети» и оформить отдельным томом. В разделе учесть необходимость приведения системы противопожарной безопасности к текущим стандартам.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Проект организации строительства (ПОС)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и схемами перезавода ЛЭП в новые ячейки, график поставки и схему транспортировки оборудования и т.д. Предусмотреть дороги для проезда техники и площадки для складирования материалов.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В ПОС учитывать комплекс работ по организации и осуществлению авторского надзора за строительством, реконструкцией зданий и сооружений, а также привлечение ССО.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В ПОС предусмотреть выполнение работ по благоустройству территории объекта в связи с изменением расстановки первичного оборудования.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В ПОС для каждого этапа строительства (реконструкции) должны быть проработаны решения: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1) Общие: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по минимизации количества и периодов эксплуатации объектов с временными (ослабленными) схемами электроснабжения потребителей;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по определению схемно-режимных условий беспрепятственной коммутации оборудования на каждом этапе строительства (реконструкции) с организацией согласования данных условий на уровне РДУ.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2)В части РЗА: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взаимодействия вновь устанавливаемых устройств РЗА с существующими на ПС устройствами РЗА;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временного состава устройств РЗА на переходный период поэтапной реконструкции оборудования: ЛЭП (с учетом очередности замены устройств РЗА, выключателей, ВЧ оборудования, ТН, создания ВОЛС и т.п.), ДЗШ 110-750 кВ (с учетом очередности замены выключателей и ТТ), автотрансформаторов 220-750 кВ (с учетом замены выключателей и ТТ в РУ высшего, среднего и низшего напряжения).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3)В части АСУ ТП: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состав компонентов АСУ ТП, вводимых на каждом этапе строительства;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организация передачи технологической информации по вновь вводимому оборудованию на верхние уровни управления;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структурная схема АСУ ТП (ССПИ).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 xml:space="preserve">4)В части АИИС КУЭ - по сохранению автоматического сбора данных по всем точкам учета ПС и передаче информации на верхние уровни управления </w:t>
      </w:r>
      <w:r>
        <w:rPr>
          <w:rFonts w:eastAsia="MS Mincho"/>
          <w:sz w:val="24"/>
          <w:szCs w:val="24"/>
          <w:lang w:eastAsia="ja-JP"/>
        </w:rPr>
        <w:t>филиала ПАО «Россети Центр и Приволжье» - «Тулэнерго»</w:t>
      </w:r>
      <w:r>
        <w:rPr>
          <w:rFonts w:eastAsia="MS Mincho"/>
          <w:bCs/>
          <w:iCs/>
          <w:sz w:val="24"/>
          <w:szCs w:val="24"/>
          <w:lang w:eastAsia="ja-JP"/>
        </w:rPr>
        <w:t>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5)В части систем связи: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состав средств связи, вводимых на каждом этапе строительства;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>- направления организации каналов связи с указанием видов передаваемой информации.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 xml:space="preserve">6)В части указания видов строительства и проектных характеристик строящихся (реконструируемых) объектов указать виды строительства и характеристики (в соответствии с формой </w:t>
      </w:r>
      <w:r>
        <w:rPr>
          <w:rFonts w:eastAsia="MS Mincho"/>
          <w:bCs/>
          <w:iCs/>
          <w:sz w:val="24"/>
          <w:szCs w:val="24"/>
          <w:lang w:eastAsia="ja-JP"/>
        </w:rPr>
        <w:lastRenderedPageBreak/>
        <w:t>разрешения на строительство, утвержденной уполномоченным Правительством Российской Федерации органом исполнительной власти) по каждому объекту: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 xml:space="preserve">- капитального строительства </w:t>
      </w:r>
      <w:r>
        <w:rPr>
          <w:rFonts w:eastAsia="MS Mincho"/>
          <w:sz w:val="24"/>
          <w:szCs w:val="24"/>
          <w:lang w:eastAsia="ja-JP"/>
        </w:rPr>
        <w:t>филиала ПАО «Россети Центр и Приволжье» - «Тулэнерго»</w:t>
      </w:r>
      <w:r>
        <w:rPr>
          <w:rFonts w:eastAsia="MS Mincho"/>
          <w:bCs/>
          <w:iCs/>
          <w:sz w:val="24"/>
          <w:szCs w:val="24"/>
          <w:lang w:eastAsia="ja-JP"/>
        </w:rPr>
        <w:t>;</w:t>
      </w:r>
    </w:p>
    <w:p w:rsidR="00DF3903" w:rsidRDefault="00ED4771">
      <w:pPr>
        <w:widowControl/>
        <w:ind w:firstLine="709"/>
        <w:jc w:val="both"/>
        <w:rPr>
          <w:rFonts w:eastAsia="MS Mincho"/>
          <w:bCs/>
          <w:iCs/>
          <w:sz w:val="24"/>
          <w:szCs w:val="24"/>
          <w:lang w:eastAsia="ja-JP"/>
        </w:rPr>
      </w:pPr>
      <w:r>
        <w:rPr>
          <w:rFonts w:eastAsia="MS Mincho"/>
          <w:bCs/>
          <w:iCs/>
          <w:sz w:val="24"/>
          <w:szCs w:val="24"/>
          <w:lang w:eastAsia="ja-JP"/>
        </w:rPr>
        <w:t xml:space="preserve">- реконструкции (переустройства) иных собственников, затрагиваемых строительством (реконструкцией) объекта </w:t>
      </w:r>
      <w:r>
        <w:rPr>
          <w:rFonts w:eastAsia="MS Mincho"/>
          <w:sz w:val="24"/>
          <w:szCs w:val="24"/>
          <w:lang w:eastAsia="ja-JP"/>
        </w:rPr>
        <w:t>филиала ПАО «Россети Центр и Приволжье» - «Тулэнерго»</w:t>
      </w:r>
      <w:r>
        <w:rPr>
          <w:rFonts w:eastAsia="MS Mincho"/>
          <w:bCs/>
          <w:iCs/>
          <w:sz w:val="24"/>
          <w:szCs w:val="24"/>
          <w:lang w:eastAsia="ja-JP"/>
        </w:rPr>
        <w:t>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Проект организации работ по сносу или демонтажу объектов капитального строительства (ПОД) с определением последовательности и очередности проведения работ по демонтажу, включая предложения по выделению очередей и этапов демонтажных работ. Предусмотреть дороги для проезда техники и площадки для складирования демонтированных материалов.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Выполнить раздел «Организация эксплуатации» с выполнением анализа существующей схемы эксплуатации объектов электросетевого хозяйства в регионе(ах) размещения проектируемого объекта и определением потребности в технике, необходимой для эксплуатации и ремонтов, а также требуемого количества, мест размещения, площади и технического оснащения гаражей, численности, квалификации и мест размещения оперативного и ремонтного персонала, водителей, персонала по техническому обслуживанию и ремонту транспортных средств, а также необходимого объема аварийного резерва, ЗИП и места их размещения.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Для строящихся/реконструируемых зданий и сооружений принять идентификационные признаки согласно статье 4 Федерального закона «Технический регламент о безопасности зданий и сооружений»</w:t>
      </w:r>
      <w:r w:rsidR="00D678E2">
        <w:rPr>
          <w:sz w:val="24"/>
          <w:szCs w:val="24"/>
        </w:rPr>
        <w:t>,</w:t>
      </w:r>
      <w:r>
        <w:rPr>
          <w:sz w:val="24"/>
          <w:szCs w:val="24"/>
        </w:rPr>
        <w:t xml:space="preserve"> от 30.12.2009 № 384-ФЗ в соответствии с Приложением 5 к настоящему ТЗ.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Смета на строительство. Раздел выполнить отдельным томом и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разделе «Пояснительная записка» представить сводный перечень (номенклатуру) устанавливаемого основного и вторичного оборудования, строящихся зданий и сооружений и т.д., а также прочих выполняемых работ в объеме, необходимом для определения полной стоимости строительства в соответствии с УНЦ. В том числе, но не ограничиваясь: указать оборудование РЗА, ПА, АСУ ТП и связи, АИИСКУЭ, кабельную продукцию, ВОЛС, защитные сооружения гражданской обороны. Перечень выполнить в табличной форме с указанием параметров и количественных характеристик объектов строительства.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проектной документации:</w:t>
      </w:r>
    </w:p>
    <w:p w:rsidR="00DF3903" w:rsidRDefault="00ED4771" w:rsidP="00D678E2">
      <w:pPr>
        <w:pStyle w:val="aff0"/>
        <w:widowControl/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объекта;</w:t>
      </w:r>
    </w:p>
    <w:p w:rsidR="00DF3903" w:rsidRDefault="00ED4771" w:rsidP="00D678E2">
      <w:pPr>
        <w:pStyle w:val="aff0"/>
        <w:widowControl/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проектной документации учесть, что все элементы энергообъекта должны быть визуально реалистичны и легко узнаваемы, с проработкой текстур и материалов («металл», «бетон», «композит» и т.п.) и соответствовать фирменному стилю Заказчика.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решения проектной документации в части первичного оборудования, зданий и сооружений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</w:t>
      </w:r>
      <w:r>
        <w:rPr>
          <w:sz w:val="24"/>
          <w:szCs w:val="24"/>
        </w:rPr>
        <w:lastRenderedPageBreak/>
        <w:t>труда при работе на высоте» (утверждены приказом Министерства труда и социальной защиты Российской Федерации от 28.03.2014 № 155н).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разделе «Пояснительная записка» привести реквизиты и сведения об использовании ранее разработанной документации при выполнении проектной документации по настоящему инвестиционному проекту: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внестадийной и/или проектной документации и т.п.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разработке проектной документации в приоритетном порядке следует предусматривать технические решения, базирующиеся на применении оборудования, конструкций, материалов и технологий отечественного производства. 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документации не допускается указывать наименования изготовителей и/или марки (в том числе технические условия на изготовление) проектируемого оборудования, систем.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6" w:firstLine="70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 А также привести величину экономического эффекта, получаемого за счет выполнения связей между устройствами РЗА (на информационном уровне), АСУ ТП и оборудованием ОРУ, КРУЭ по цифровым протоколам по сравнению с применением контрольных кабелей (применение различных Типовых шкафов, указанных в приложениях 3, 4 и 5 к приказу ОАО «ФСК ЕЭС» от 01.09.2014 № 373 «Об утверждении материалов типовых проектных решений») с учетом затрат на оборудование, кабельную продукцию и СМР.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0" w:firstLine="710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«Разработка и согласование рабочей документации (РД) в соответствии с требованиями нормативно-технических документов». </w:t>
      </w:r>
    </w:p>
    <w:p w:rsidR="00DF3903" w:rsidRDefault="00ED4771">
      <w:pPr>
        <w:pStyle w:val="aff0"/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Рабочая документация (</w:t>
      </w:r>
      <w:r w:rsidR="00D678E2">
        <w:rPr>
          <w:sz w:val="24"/>
          <w:szCs w:val="24"/>
        </w:rPr>
        <w:t xml:space="preserve">далее - </w:t>
      </w:r>
      <w:r>
        <w:rPr>
          <w:sz w:val="24"/>
          <w:szCs w:val="24"/>
        </w:rPr>
        <w:t xml:space="preserve">РД) должна быть разработана после выбора основного первичного и вторичного оборудования </w:t>
      </w:r>
      <w:r>
        <w:rPr>
          <w:sz w:val="24"/>
        </w:rPr>
        <w:t>в объеме, необходимом для описания полной совокупности принятых решений проектной документации и достаточном для дальнейшего выполнения СМР и ПНР</w:t>
      </w:r>
      <w:r>
        <w:rPr>
          <w:sz w:val="24"/>
          <w:szCs w:val="24"/>
        </w:rPr>
        <w:t xml:space="preserve">. </w:t>
      </w:r>
    </w:p>
    <w:p w:rsidR="00DF3903" w:rsidRDefault="00ED4771">
      <w:pPr>
        <w:pStyle w:val="aff0"/>
        <w:widowControl/>
        <w:spacing w:after="0" w:line="276" w:lineRule="auto"/>
        <w:ind w:left="0" w:firstLine="710"/>
        <w:contextualSpacing/>
        <w:jc w:val="both"/>
        <w:rPr>
          <w:bCs/>
          <w:sz w:val="24"/>
        </w:rPr>
      </w:pPr>
      <w:r>
        <w:rPr>
          <w:sz w:val="24"/>
          <w:szCs w:val="24"/>
        </w:rPr>
        <w:t>РД должна быть согласована с филиалом ПАО «Россети Центр и Приволжье» - «Тулэнерго», филиалом ПАО «Россети» - Приокское предприятие магистральных электрических сетей, Филиалом АО «СО ЕЭС» Тульское РДУ, Филиалом АО «РИР Энерго» - «Орловская генерация», АО «Тулачермет» и с субъектами электроэнергетики - собственниками энергообъектов, технологически связанных с объектом проектирования.</w:t>
      </w:r>
    </w:p>
    <w:p w:rsidR="00DF3903" w:rsidRDefault="00ED4771">
      <w:pPr>
        <w:pStyle w:val="aff0"/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</w:rPr>
        <w:t>РД должна содержать: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</w:rPr>
      </w:pPr>
      <w:r>
        <w:rPr>
          <w:bCs/>
          <w:sz w:val="24"/>
        </w:rPr>
        <w:t>Конструктивные решения (установочные чертежи) в соответствии с видами выбранного электрооборудования и компоновочными решениями, утвержденными в проектной документации.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</w:rPr>
      </w:pPr>
      <w:r>
        <w:rPr>
          <w:bCs/>
          <w:sz w:val="24"/>
        </w:rPr>
        <w:lastRenderedPageBreak/>
        <w:t>Решения по организации электропитания систем РЗА, ПА, АСУ ТП, ТМ, систем связи и других систем, включая:</w:t>
      </w:r>
    </w:p>
    <w:p w:rsidR="00DF3903" w:rsidRDefault="00ED4771">
      <w:pPr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</w:pPr>
      <w:r>
        <w:rPr>
          <w:sz w:val="24"/>
        </w:rPr>
        <w:t>привязку оборудования к цепям СН, РЗА, ПА, телемеханики, связи, АСУЭ.</w:t>
      </w:r>
      <w:r>
        <w:t xml:space="preserve"> </w:t>
      </w:r>
    </w:p>
    <w:p w:rsidR="00DF3903" w:rsidRDefault="00ED4771">
      <w:pPr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таблицы потребителей оперативного тока и их характеристики; </w:t>
      </w:r>
    </w:p>
    <w:p w:rsidR="00DF3903" w:rsidRDefault="00ED4771">
      <w:pPr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принципиальные и монтажные схемы организации цепей оперативного тока;</w:t>
      </w:r>
    </w:p>
    <w:p w:rsidR="00DF3903" w:rsidRDefault="00ED4771">
      <w:pPr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расчеты токов короткого замыкания оперативного тока, построение карт селективности защитных аппаратов оперативного тока (с использованием специализированных программ);</w:t>
      </w:r>
    </w:p>
    <w:p w:rsidR="00DF3903" w:rsidRDefault="00ED4771">
      <w:pPr>
        <w:pStyle w:val="aff0"/>
        <w:widowControl/>
        <w:numPr>
          <w:ilvl w:val="0"/>
          <w:numId w:val="20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решения по контролю состояния АБ и сети оперативного тока, включая устройства автоматического и автоматизированного поиска «земли» по присоединениям с контролем снижения уровня напряжения на аккумуляторной батарее с выдачей предупредительного сигнала в центральную сигнализацию ПС и в ОИК ЦУС/ОИК РЭС с наименованием «Авария/неисправность СОПТ».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Решения в части вторичных систем ПС:</w:t>
      </w:r>
    </w:p>
    <w:p w:rsidR="00DF3903" w:rsidRDefault="00ED4771">
      <w:pPr>
        <w:pStyle w:val="aff0"/>
        <w:widowControl/>
        <w:numPr>
          <w:ilvl w:val="3"/>
          <w:numId w:val="11"/>
        </w:numPr>
        <w:spacing w:after="0"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релейной защите (РЗА) с использованием микропроцессорных устройств, включая: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схемы размещения устройств релейной защиты;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схемы распределения по трансформаторам тока устройств РЗА, ПА, АСУЭ, схема организации цепей питания устройств РЗА;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принципиальные и монтажные схемы с привязкой вновь установленного оборудования и МП устройств РЗА к существующему оборудованию, устройствам релейной защиты, автоматики и сигнализации с указанием для «высокоавтоматизированной» ПС: наименований сигналов в семантике серии стандартов МЭК 61850 с указанием передаваемых объектов/атрибутов данных; используемых коммуникационных сервисов передачи данных (</w:t>
      </w:r>
      <w:r>
        <w:rPr>
          <w:sz w:val="24"/>
          <w:szCs w:val="24"/>
          <w:lang w:val="en-US"/>
        </w:rPr>
        <w:t>SV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GOOSE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Report</w:t>
      </w:r>
      <w:r>
        <w:rPr>
          <w:sz w:val="24"/>
          <w:szCs w:val="24"/>
        </w:rPr>
        <w:t xml:space="preserve"> и др.);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принципиальные и (или) функционально-логические схемы, в графическом виде, отражающие алгоритмы функционирования устройств РЗА, выполненные с применением стандартных для применяемого устройства РЗА логических элементов;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данные по параметрированию (конфигурированию) микропроцессорных устройств РЗА;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схемы организации каналов связи, обеспечивающих функционирование РЗА, выполненные в соответствии с НТД, указанными в приложении № 1 к ТЗ;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заполненные бланки задания уставок для проектируемых устройств РЗА;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заказные спецификации и карты заказа на устройства РЗА;</w:t>
      </w:r>
    </w:p>
    <w:p w:rsidR="00DF3903" w:rsidRDefault="00ED4771">
      <w:pPr>
        <w:pStyle w:val="aff0"/>
        <w:widowControl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журналы контрольных кабелей.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части АСУ ТП ПС предусмотреть: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структурную и принципиальную схемы организации АСУ ТП с отображением топологии ЛВС, организации передачи информации, применяемых устройств (комплексов) РЗА, используемых протоколов резервирования сети и точной синхронизации времени;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расчет пропускной способности элементов сетевой инфраструктуры;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планы размещения оборудования и кабельных трасс;</w:t>
      </w:r>
    </w:p>
    <w:p w:rsidR="00DF3903" w:rsidRDefault="00ED4771">
      <w:pPr>
        <w:widowControl/>
        <w:numPr>
          <w:ilvl w:val="0"/>
          <w:numId w:val="8"/>
        </w:numPr>
        <w:tabs>
          <w:tab w:val="left" w:pos="432"/>
          <w:tab w:val="left" w:pos="108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таблицы соединений и подключений (кроссовые журналы);</w:t>
      </w:r>
    </w:p>
    <w:p w:rsidR="00DF3903" w:rsidRDefault="00ED4771">
      <w:pPr>
        <w:pStyle w:val="af7"/>
        <w:widowControl/>
        <w:numPr>
          <w:ilvl w:val="0"/>
          <w:numId w:val="8"/>
        </w:numPr>
        <w:tabs>
          <w:tab w:val="left" w:pos="1080"/>
        </w:tabs>
        <w:spacing w:line="276" w:lineRule="auto"/>
        <w:ind w:left="0" w:right="142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схемы электропитания оборудования АСУ ТП;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схемы подключения дискретных сигналов ТС, ТУ (проектом предусмотреть подключение контрольных кабелей через промежуточные клеммники к контроллерам АСУ);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схемы организации сетевой инфраструктуры с указанием портов подключаемых устройств (коммутаторов, контроллеров АСУ, терминалов РЗА и т.д.);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отдельную спецификацию с наименованиями сигналов в семантике серии стандартов МЭК61850 и соответствующее им наименование из поля «Описание» (</w:t>
      </w:r>
      <w:r>
        <w:rPr>
          <w:sz w:val="24"/>
          <w:szCs w:val="24"/>
          <w:lang w:val="en-US"/>
        </w:rPr>
        <w:t>Description</w:t>
      </w:r>
      <w:r>
        <w:rPr>
          <w:sz w:val="24"/>
          <w:szCs w:val="24"/>
        </w:rPr>
        <w:t>);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спецификации оборудования и материалов;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схемы общего вида шкафов;</w:t>
      </w:r>
    </w:p>
    <w:p w:rsidR="00DF3903" w:rsidRPr="00806308" w:rsidRDefault="00ED4771" w:rsidP="00806308">
      <w:pPr>
        <w:pStyle w:val="aff0"/>
        <w:widowControl/>
        <w:tabs>
          <w:tab w:val="left" w:pos="993"/>
          <w:tab w:val="left" w:pos="1560"/>
        </w:tabs>
        <w:spacing w:after="0"/>
        <w:ind w:left="709"/>
        <w:jc w:val="both"/>
        <w:rPr>
          <w:b/>
          <w:sz w:val="24"/>
          <w:szCs w:val="24"/>
        </w:rPr>
      </w:pPr>
      <w:r w:rsidRPr="00806308">
        <w:rPr>
          <w:b/>
          <w:sz w:val="24"/>
          <w:szCs w:val="24"/>
        </w:rPr>
        <w:t>Дополнительные требования к АСУ ТП:</w:t>
      </w:r>
    </w:p>
    <w:p w:rsidR="00DF3903" w:rsidRDefault="00ED4771">
      <w:pPr>
        <w:pStyle w:val="af7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При размещении оборудования в шкафах необходимо обеспечить достаточное естественное охлаждение, сервисными розетками в количестве 3-х шт. и автоматической системой обогрева с возможностью регулировки температуры.</w:t>
      </w:r>
    </w:p>
    <w:p w:rsidR="00DF3903" w:rsidRDefault="00ED4771">
      <w:pPr>
        <w:pStyle w:val="af7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В телекоммуникационном шкафу предусмотреть установку полки для размещения дополнительного оборудования.</w:t>
      </w:r>
    </w:p>
    <w:p w:rsidR="00DF3903" w:rsidRDefault="00ED4771">
      <w:pPr>
        <w:pStyle w:val="af7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Контроллеры ввода-вывода ТС и ТУ должны иметь возможность «горячей замены», без отключения питания контроллеров АСУ ТП и перезагрузки контроллера;</w:t>
      </w:r>
    </w:p>
    <w:p w:rsidR="00DF3903" w:rsidRDefault="00ED4771">
      <w:pPr>
        <w:pStyle w:val="af7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Телеуправление выключателями и телерегулирование трансформаторов должно производиться через микропроцессорные терминалы РЗА;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sz w:val="24"/>
          <w:szCs w:val="24"/>
        </w:rPr>
      </w:pPr>
      <w:bookmarkStart w:id="1" w:name="_Toc296437970"/>
      <w:bookmarkStart w:id="2" w:name="_Toc422233043"/>
      <w:bookmarkStart w:id="3" w:name="_Toc478022903"/>
      <w:r>
        <w:rPr>
          <w:bCs/>
          <w:sz w:val="24"/>
          <w:szCs w:val="24"/>
        </w:rPr>
        <w:t>Информационная безопасность</w:t>
      </w:r>
      <w:r>
        <w:rPr>
          <w:sz w:val="24"/>
          <w:szCs w:val="24"/>
        </w:rPr>
        <w:t xml:space="preserve"> </w:t>
      </w:r>
    </w:p>
    <w:p w:rsidR="00DF3903" w:rsidRDefault="00ED4771">
      <w:pPr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Также, проект в части АСТУ ТП должен соответствовать требованиям к защите информации с учетом </w:t>
      </w:r>
      <w:hyperlink r:id="rId1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>
          <w:rPr>
            <w:rStyle w:val="af0"/>
            <w:color w:val="000000"/>
            <w:sz w:val="24"/>
            <w:szCs w:val="24"/>
          </w:rPr>
          <w:t>ГОСТ Р 51583</w:t>
        </w:r>
      </w:hyperlink>
      <w:r>
        <w:rPr>
          <w:sz w:val="24"/>
          <w:szCs w:val="24"/>
        </w:rPr>
        <w:t xml:space="preserve"> "Защита информации. Порядок создания автоматизированных систем в защищенном исполнении. Общие положения" (далее - </w:t>
      </w:r>
      <w:hyperlink r:id="rId1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>
          <w:rPr>
            <w:rStyle w:val="af0"/>
            <w:color w:val="000000"/>
            <w:sz w:val="24"/>
            <w:szCs w:val="24"/>
          </w:rPr>
          <w:t>ГОСТ Р 51583</w:t>
        </w:r>
      </w:hyperlink>
      <w:r>
        <w:rPr>
          <w:sz w:val="24"/>
          <w:szCs w:val="24"/>
        </w:rPr>
        <w:t xml:space="preserve">), ГОСТ Р 51624 "Защита информации. Автоматизированные системы в защищенном исполнении. Общие требования" (далее - ГОСТ Р 51624), приказа ФСТЭК России </w:t>
      </w:r>
      <w:hyperlink r:id="rId15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>
          <w:rPr>
            <w:rStyle w:val="af0"/>
            <w:color w:val="000000"/>
            <w:sz w:val="24"/>
            <w:szCs w:val="24"/>
          </w:rPr>
          <w:t>от 25.12.2017 № 239</w:t>
        </w:r>
      </w:hyperlink>
      <w:r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  <w:bookmarkEnd w:id="1"/>
      <w:bookmarkEnd w:id="2"/>
      <w:bookmarkEnd w:id="3"/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части АСУЭ ПС предусмотреть: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структурную схему организации АСУЭ;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планы размещения оборудования и кабельных трасс;</w:t>
      </w:r>
    </w:p>
    <w:p w:rsidR="00DF3903" w:rsidRDefault="00ED4771">
      <w:pPr>
        <w:widowControl/>
        <w:numPr>
          <w:ilvl w:val="0"/>
          <w:numId w:val="8"/>
        </w:numPr>
        <w:tabs>
          <w:tab w:val="left" w:pos="432"/>
          <w:tab w:val="left" w:pos="108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таблицы соединений и подключений (кабельный журнал);</w:t>
      </w:r>
    </w:p>
    <w:p w:rsidR="00DF3903" w:rsidRDefault="00ED4771">
      <w:pPr>
        <w:pStyle w:val="af7"/>
        <w:widowControl/>
        <w:numPr>
          <w:ilvl w:val="0"/>
          <w:numId w:val="8"/>
        </w:numPr>
        <w:tabs>
          <w:tab w:val="left" w:pos="1080"/>
        </w:tabs>
        <w:spacing w:line="276" w:lineRule="auto"/>
        <w:ind w:left="0" w:right="142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схемы электропитания оборудования АСУЭ;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схемы подключения измерительных цепей;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схемы подключения информационных цепей;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спецификации оборудования и материалов;</w:t>
      </w:r>
    </w:p>
    <w:p w:rsidR="00DF3903" w:rsidRDefault="00ED4771">
      <w:pPr>
        <w:pStyle w:val="af7"/>
        <w:numPr>
          <w:ilvl w:val="0"/>
          <w:numId w:val="8"/>
        </w:numPr>
        <w:tabs>
          <w:tab w:val="left" w:pos="1080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схемы общего вида шкафов АСУЭ.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Расчет загруженности ЛВС с учетом выбранной топологии информационной сети и максимальной нагрузки в режиме повышенной информационной нагрузки «шторм».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Кабельный журнал, план раскладки кабелей, привести расчет кабельной продукции, необходимой для создания подсистем РЗА, СН, СОПТ и др.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Уточнить (при необходимости, при соответствующем обосновании) расчет молниезащиты и грозозащиты оборудования и подходов ВЛ к подстанции. Место установки и выбор параметров ОПН должны быть обоснованы расчетами. 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Уточнить (при необходимости, при соответствующем обосновании) проект заземляющего устройства в соответствии с требованиями </w:t>
      </w:r>
      <w:hyperlink r:id="rId1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>
          <w:rPr>
            <w:bCs/>
            <w:sz w:val="24"/>
            <w:szCs w:val="24"/>
          </w:rPr>
          <w:t>ПУЭ</w:t>
        </w:r>
      </w:hyperlink>
      <w:r>
        <w:rPr>
          <w:bCs/>
          <w:sz w:val="24"/>
          <w:szCs w:val="24"/>
        </w:rPr>
        <w:t xml:space="preserve"> и условиями протекания длительного наибольшего тока несимметричного режима в соответствии  СТО 56947007-29.240.044-2010, утв. Приказом ОАО "ФСК ЕЭС" от 21.04.2010 N 265.</w:t>
      </w:r>
    </w:p>
    <w:p w:rsidR="00DF3903" w:rsidRDefault="00ED4771">
      <w:pPr>
        <w:pStyle w:val="aff0"/>
        <w:widowControl/>
        <w:numPr>
          <w:ilvl w:val="2"/>
          <w:numId w:val="11"/>
        </w:numPr>
        <w:spacing w:after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части ТК ПС предусмотреть: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структурную и принципиальную схемы организации каналов связи с отображением топологии ЛВС</w:t>
      </w:r>
      <w:r w:rsidR="00D678E2">
        <w:rPr>
          <w:rFonts w:eastAsia="Arial Unicode MS"/>
          <w:sz w:val="24"/>
          <w:szCs w:val="24"/>
        </w:rPr>
        <w:t>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планы размещения оборудования (фасады шкафов ТК, размещение шкафов ТК в аппаратной связи);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таблицу кабельных соединений (кабельный журнал);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b/>
          <w:sz w:val="24"/>
          <w:szCs w:val="24"/>
        </w:rPr>
      </w:pPr>
      <w:r>
        <w:rPr>
          <w:rFonts w:eastAsia="Arial Unicode MS"/>
          <w:sz w:val="24"/>
          <w:szCs w:val="24"/>
        </w:rPr>
        <w:lastRenderedPageBreak/>
        <w:t xml:space="preserve">схемы электропитания оборудования связи (для каждого узла) с указанием точки подключения на распределительном щите питания; 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b/>
          <w:sz w:val="24"/>
          <w:szCs w:val="24"/>
        </w:rPr>
      </w:pPr>
      <w:r>
        <w:rPr>
          <w:rFonts w:eastAsia="Arial Unicode MS"/>
          <w:sz w:val="24"/>
          <w:szCs w:val="24"/>
        </w:rPr>
        <w:t>планы прокладки кабелей связи по территории объекта (зданиям с аппаратной связи, прилегающим территориям к зданию, входящие в состав объекта);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принципиальные схемы функционирования и/или взаимодействия оборудования с существующим, если таковое имеется;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маркировку объектов и линий связи: кабеля, муфт, кроссов, и т.д.</w:t>
      </w:r>
    </w:p>
    <w:p w:rsidR="00DF3903" w:rsidRDefault="00D678E2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</w:t>
      </w:r>
      <w:r w:rsidR="00ED4771">
        <w:rPr>
          <w:rFonts w:eastAsia="Arial Unicode MS"/>
          <w:sz w:val="24"/>
          <w:szCs w:val="24"/>
        </w:rPr>
        <w:t>метную часть:</w:t>
      </w:r>
    </w:p>
    <w:p w:rsidR="00DF3903" w:rsidRPr="00D678E2" w:rsidRDefault="00ED4771" w:rsidP="00806308">
      <w:pPr>
        <w:pStyle w:val="af7"/>
        <w:widowControl/>
        <w:numPr>
          <w:ilvl w:val="0"/>
          <w:numId w:val="35"/>
        </w:numPr>
        <w:ind w:left="0" w:firstLine="1134"/>
        <w:rPr>
          <w:sz w:val="24"/>
          <w:szCs w:val="24"/>
        </w:rPr>
      </w:pPr>
      <w:bookmarkStart w:id="4" w:name="_Hlk188255823"/>
      <w:r w:rsidRPr="00D678E2">
        <w:rPr>
          <w:sz w:val="24"/>
          <w:szCs w:val="24"/>
        </w:rPr>
        <w:t xml:space="preserve">Сметную документацию разработать в соответствии с приказом Минстроя РФ </w:t>
      </w:r>
      <w:hyperlink r:id="rId17" w:tooltip="&quot;Об утверждении сметных нормативов (с изменениями на 18 мая 2022 года)&quot; Приказ Министерства строительства и жилищно-коммунального хозяйства Российской Федерации от 30.12.2021 N 1046/пр Статус: Действующая редакция документа (действ. c 25.02.2023)" w:history="1">
        <w:r w:rsidRPr="00D678E2">
          <w:rPr>
            <w:rStyle w:val="af0"/>
            <w:color w:val="000000"/>
            <w:sz w:val="24"/>
            <w:szCs w:val="24"/>
          </w:rPr>
          <w:t>№1046/пр от 30.12.2021</w:t>
        </w:r>
      </w:hyperlink>
      <w:r w:rsidRPr="00D678E2">
        <w:rPr>
          <w:sz w:val="24"/>
          <w:szCs w:val="24"/>
        </w:rPr>
        <w:t xml:space="preserve"> (в редакции </w:t>
      </w:r>
      <w:hyperlink r:id="rId18" w:tooltip="&quot;О внесении изменений в приказ Министерства строительства и жилищно-коммунального хозяйства ...&quot; Приказ Министерства строительства и жилищно-коммунального хозяйства Российской Федерации от ... Статус: Действующий документ (действ. c 18.05.2022)" w:history="1">
        <w:r w:rsidRPr="00D678E2">
          <w:rPr>
            <w:rStyle w:val="af0"/>
            <w:color w:val="000000"/>
            <w:sz w:val="24"/>
            <w:szCs w:val="24"/>
          </w:rPr>
          <w:t>Приказа № 378/пр от 18.05.2022</w:t>
        </w:r>
      </w:hyperlink>
      <w:r w:rsidRPr="00D678E2">
        <w:rPr>
          <w:sz w:val="24"/>
          <w:szCs w:val="24"/>
        </w:rPr>
        <w:t xml:space="preserve">) с использованием базы ФСНБ-2022 с актуальными дополнениями (ресурсно-индексный метод с применением индексов по группам однородных строительных ресурсов). В случае отсутствия индексов по группам однородных строительных ресурсов использовать для составления сметной документации базу ФЕР 2020 с актуальными дополнениями и изменениями. </w:t>
      </w:r>
      <w:bookmarkEnd w:id="4"/>
    </w:p>
    <w:p w:rsidR="00DF3903" w:rsidRDefault="00ED4771" w:rsidP="00D678E2">
      <w:pPr>
        <w:numPr>
          <w:ilvl w:val="0"/>
          <w:numId w:val="26"/>
        </w:numPr>
        <w:shd w:val="clear" w:color="auto" w:fill="FFFFFF"/>
        <w:tabs>
          <w:tab w:val="left" w:pos="1134"/>
          <w:tab w:val="left" w:pos="1418"/>
          <w:tab w:val="left" w:pos="1701"/>
        </w:tabs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>прайс-листы и ТКП на оборудование и материалы, присутствующие в проекте с текущими ценами;</w:t>
      </w:r>
    </w:p>
    <w:p w:rsidR="00DF3903" w:rsidRDefault="00D678E2">
      <w:pPr>
        <w:pStyle w:val="af7"/>
        <w:numPr>
          <w:ilvl w:val="0"/>
          <w:numId w:val="23"/>
        </w:numPr>
        <w:tabs>
          <w:tab w:val="left" w:pos="392"/>
          <w:tab w:val="left" w:pos="1134"/>
        </w:tabs>
        <w:ind w:left="0" w:firstLine="709"/>
        <w:contextualSpacing/>
        <w:rPr>
          <w:rFonts w:eastAsia="Arial Unicode MS"/>
          <w:b/>
          <w:sz w:val="24"/>
          <w:szCs w:val="24"/>
        </w:rPr>
      </w:pPr>
      <w:r>
        <w:rPr>
          <w:rFonts w:eastAsia="Arial Unicode MS"/>
          <w:sz w:val="24"/>
          <w:szCs w:val="24"/>
        </w:rPr>
        <w:t>с</w:t>
      </w:r>
      <w:r w:rsidR="00ED4771">
        <w:rPr>
          <w:rFonts w:eastAsia="Arial Unicode MS"/>
          <w:sz w:val="24"/>
          <w:szCs w:val="24"/>
        </w:rPr>
        <w:t>пецификацию на оборудование и материалы с указанием наименований и</w:t>
      </w:r>
      <w:r w:rsidR="00ED4771">
        <w:rPr>
          <w:sz w:val="24"/>
          <w:szCs w:val="24"/>
        </w:rPr>
        <w:t xml:space="preserve"> обозначений оборудования, приведенных на схемах:</w:t>
      </w:r>
    </w:p>
    <w:p w:rsidR="00DF3903" w:rsidRDefault="00ED4771" w:rsidP="00D678E2">
      <w:pPr>
        <w:pStyle w:val="af7"/>
        <w:numPr>
          <w:ilvl w:val="0"/>
          <w:numId w:val="25"/>
        </w:numPr>
        <w:shd w:val="clear" w:color="auto" w:fill="FFFFFF"/>
        <w:tabs>
          <w:tab w:val="left" w:pos="1134"/>
          <w:tab w:val="left" w:pos="1418"/>
          <w:tab w:val="left" w:pos="1701"/>
        </w:tabs>
        <w:ind w:left="0" w:firstLine="1134"/>
        <w:contextualSpacing/>
        <w:rPr>
          <w:sz w:val="24"/>
          <w:szCs w:val="24"/>
        </w:rPr>
      </w:pPr>
      <w:r>
        <w:rPr>
          <w:sz w:val="24"/>
          <w:szCs w:val="24"/>
        </w:rPr>
        <w:t>оборудование и материалы должны быть разделены;</w:t>
      </w:r>
    </w:p>
    <w:p w:rsidR="00DF3903" w:rsidRDefault="00ED4771" w:rsidP="00D678E2">
      <w:pPr>
        <w:pStyle w:val="af7"/>
        <w:numPr>
          <w:ilvl w:val="0"/>
          <w:numId w:val="25"/>
        </w:numPr>
        <w:shd w:val="clear" w:color="auto" w:fill="FFFFFF"/>
        <w:tabs>
          <w:tab w:val="left" w:pos="1134"/>
          <w:tab w:val="left" w:pos="1418"/>
          <w:tab w:val="left" w:pos="1701"/>
        </w:tabs>
        <w:ind w:left="0" w:firstLine="1134"/>
        <w:contextualSpacing/>
        <w:rPr>
          <w:sz w:val="24"/>
          <w:szCs w:val="24"/>
        </w:rPr>
      </w:pPr>
      <w:r>
        <w:rPr>
          <w:sz w:val="24"/>
          <w:szCs w:val="24"/>
        </w:rPr>
        <w:t>все комплектующие и запчасти должны быть включены в состав оборудования, для которого они предназначены;</w:t>
      </w:r>
    </w:p>
    <w:p w:rsidR="00DF3903" w:rsidRDefault="00ED4771" w:rsidP="00D678E2">
      <w:pPr>
        <w:pStyle w:val="af7"/>
        <w:numPr>
          <w:ilvl w:val="0"/>
          <w:numId w:val="25"/>
        </w:numPr>
        <w:shd w:val="clear" w:color="auto" w:fill="FFFFFF"/>
        <w:tabs>
          <w:tab w:val="left" w:pos="1134"/>
          <w:tab w:val="left" w:pos="1418"/>
          <w:tab w:val="left" w:pos="1701"/>
        </w:tabs>
        <w:ind w:left="0" w:firstLine="1134"/>
        <w:contextualSpacing/>
        <w:rPr>
          <w:sz w:val="24"/>
          <w:szCs w:val="24"/>
        </w:rPr>
      </w:pPr>
      <w:r>
        <w:rPr>
          <w:sz w:val="24"/>
          <w:szCs w:val="24"/>
        </w:rPr>
        <w:t>сквозная нумерация комплектующих и компонентов, входящих в состав оборудования, не допускается;</w:t>
      </w:r>
    </w:p>
    <w:p w:rsidR="00DF3903" w:rsidRDefault="00ED4771" w:rsidP="00D678E2">
      <w:pPr>
        <w:pStyle w:val="af7"/>
        <w:numPr>
          <w:ilvl w:val="0"/>
          <w:numId w:val="25"/>
        </w:numPr>
        <w:shd w:val="clear" w:color="auto" w:fill="FFFFFF"/>
        <w:tabs>
          <w:tab w:val="left" w:pos="1134"/>
          <w:tab w:val="left" w:pos="1418"/>
          <w:tab w:val="left" w:pos="1701"/>
        </w:tabs>
        <w:ind w:left="0" w:firstLine="1134"/>
        <w:contextualSpacing/>
        <w:rPr>
          <w:sz w:val="24"/>
          <w:szCs w:val="24"/>
        </w:rPr>
      </w:pPr>
      <w:r>
        <w:rPr>
          <w:sz w:val="24"/>
          <w:szCs w:val="24"/>
        </w:rPr>
        <w:t>раздел ВОЛС должен иметь отдельную спецификацию на материалы;</w:t>
      </w:r>
    </w:p>
    <w:p w:rsidR="00DF3903" w:rsidRDefault="00ED4771" w:rsidP="00D678E2">
      <w:pPr>
        <w:pStyle w:val="af7"/>
        <w:numPr>
          <w:ilvl w:val="0"/>
          <w:numId w:val="25"/>
        </w:numPr>
        <w:shd w:val="clear" w:color="auto" w:fill="FFFFFF"/>
        <w:tabs>
          <w:tab w:val="left" w:pos="1134"/>
          <w:tab w:val="left" w:pos="1418"/>
          <w:tab w:val="left" w:pos="1701"/>
        </w:tabs>
        <w:ind w:left="0" w:firstLine="1134"/>
        <w:contextualSpacing/>
        <w:rPr>
          <w:sz w:val="24"/>
          <w:szCs w:val="24"/>
        </w:rPr>
      </w:pPr>
      <w:r>
        <w:rPr>
          <w:sz w:val="24"/>
          <w:szCs w:val="24"/>
        </w:rPr>
        <w:t>наименование позиций в спецификации должны указывать однозначно на существующее оборудование и материалы, доступные к заказу.</w:t>
      </w:r>
    </w:p>
    <w:p w:rsidR="00DF3903" w:rsidRDefault="00ED4771">
      <w:pPr>
        <w:pStyle w:val="a"/>
        <w:numPr>
          <w:ilvl w:val="0"/>
          <w:numId w:val="0"/>
        </w:numPr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Раздел «проектирование ВОЛС» (в случае необходимости разработки) - необходимо выполнить на каждый из участков отдельным томом со спецификацией на материалы и оборудование. Раздел ВОЛС должен иметь следующий состав (выбрать, либо исключить при необходимости):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информацией о рельефе в виде плана местности с привязкой к существующим колодцам и объектам капитального строительства;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выбор точек подвеса кабеля на опорах; 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схемы прокладки кабеля на территории объекта, в зданиях и схемы ввода в аппаратную связи;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структурную (скелетную) схему ВОЛС;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ситуационная трасса прокладки ВОЛС; 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трасса прокладки ВОК на инженерно-топографическом плане с указанием размеров до постоянных местных ориентиров, марки кабеля, наименование землевладельцев и землепользователей с их письменными согласованиями;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планы прохода ВОК по энергообъектам;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распределение информационных потоков по ВОЛС;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схема прокладки/докладки телефонной канализации на инженерно-топографическом плане;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схемы разварки кроссов и муфт;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схемы с позиционным обозначением оборудования в спецификации, включая:</w:t>
      </w:r>
    </w:p>
    <w:p w:rsidR="00DF3903" w:rsidRDefault="00ED4771" w:rsidP="00D678E2">
      <w:pPr>
        <w:pStyle w:val="af7"/>
        <w:numPr>
          <w:ilvl w:val="0"/>
          <w:numId w:val="27"/>
        </w:numPr>
        <w:tabs>
          <w:tab w:val="left" w:pos="1134"/>
        </w:tabs>
        <w:ind w:left="0" w:firstLine="1134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структурную схему;</w:t>
      </w:r>
    </w:p>
    <w:p w:rsidR="00DF3903" w:rsidRDefault="00ED4771" w:rsidP="00D678E2">
      <w:pPr>
        <w:pStyle w:val="af7"/>
        <w:numPr>
          <w:ilvl w:val="0"/>
          <w:numId w:val="27"/>
        </w:numPr>
        <w:tabs>
          <w:tab w:val="left" w:pos="1134"/>
        </w:tabs>
        <w:ind w:left="0" w:firstLine="1134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схему соединения узлов (линейную схему);</w:t>
      </w:r>
    </w:p>
    <w:p w:rsidR="00DF3903" w:rsidRDefault="00ED4771" w:rsidP="00D678E2">
      <w:pPr>
        <w:pStyle w:val="af7"/>
        <w:numPr>
          <w:ilvl w:val="0"/>
          <w:numId w:val="27"/>
        </w:numPr>
        <w:tabs>
          <w:tab w:val="left" w:pos="1134"/>
        </w:tabs>
        <w:ind w:left="0" w:firstLine="1134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lastRenderedPageBreak/>
        <w:t>схемы организации связи;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охранные мероприятия при прокладке кабеля;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организацию линейно-кабельных сооружений, включая решения по подвеске волоконно-оптического кабеля, с учетом пп. 2.5.178 - 2.5.200 </w:t>
      </w:r>
      <w:hyperlink r:id="rId19" w:tooltip="&quot;Правила устройства электроустановок (ПУЭ). Оглавление&quot; (утв. Минэнерго России от 06.10.1999) Статус: Статус документа не определен" w:history="1">
        <w:r>
          <w:rPr>
            <w:rStyle w:val="af0"/>
            <w:rFonts w:eastAsia="Arial Unicode MS"/>
            <w:color w:val="000000"/>
            <w:sz w:val="24"/>
            <w:szCs w:val="24"/>
          </w:rPr>
          <w:t>ПУЭ</w:t>
        </w:r>
      </w:hyperlink>
      <w:r>
        <w:rPr>
          <w:rFonts w:eastAsia="Arial Unicode MS"/>
          <w:sz w:val="24"/>
          <w:szCs w:val="24"/>
        </w:rPr>
        <w:t xml:space="preserve"> (7 редакция).</w:t>
      </w:r>
    </w:p>
    <w:p w:rsidR="00DF3903" w:rsidRDefault="00ED4771" w:rsidP="00806308">
      <w:pPr>
        <w:pStyle w:val="af7"/>
        <w:tabs>
          <w:tab w:val="left" w:pos="1134"/>
        </w:tabs>
        <w:ind w:left="709" w:firstLine="0"/>
        <w:contextualSpacing/>
        <w:rPr>
          <w:rFonts w:eastAsia="Arial Unicode MS"/>
          <w:b/>
          <w:sz w:val="24"/>
          <w:szCs w:val="24"/>
        </w:rPr>
      </w:pPr>
      <w:r>
        <w:rPr>
          <w:rFonts w:eastAsia="Arial Unicode MS"/>
          <w:sz w:val="24"/>
          <w:szCs w:val="24"/>
        </w:rPr>
        <w:t>В случае проектирования подвесного кабеля: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составить по опорную схему пролетов с указанием номеров, типов опор, расстояниями между ними и характера местности на протяжении всей трассы с геоподосновой в масштабе подосновой;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отразить на схеме все пересекаемые ВЛ, в том числе 0,4кВ\10кВ;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составить ведомость опор и пересечений ВЛ с их диспетчерскими наименованиями;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выполнить чертежи размещения и крепления шкафов распределительных муфт (ШРМ) к опорам и порталам ВЛ, места размещения и способы крепления технологических запасов кабеля;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отразить схемное решение натяжных и поддерживающих устройств, используемых при монтаже кабеля, чертежи натяжных и поддерживающих устройств;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993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указать места установки узлов крепления ВОК на опоре ЛЭП;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993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составить схемы распределения и распайки оптических волокон;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993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составить ведомость креплений на опорах ВЛ;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993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составить ведомость гасителей вибрации;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993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составить монтажные таблицы стрел провиса и тяжений кабеля;</w:t>
      </w:r>
    </w:p>
    <w:p w:rsidR="00DF3903" w:rsidRDefault="00ED4771">
      <w:pPr>
        <w:pStyle w:val="af7"/>
        <w:numPr>
          <w:ilvl w:val="0"/>
          <w:numId w:val="23"/>
        </w:numPr>
        <w:tabs>
          <w:tab w:val="left" w:pos="392"/>
          <w:tab w:val="left" w:pos="993"/>
        </w:tabs>
        <w:ind w:left="0" w:firstLine="709"/>
        <w:contextualSpacing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произвести расчет:</w:t>
      </w:r>
    </w:p>
    <w:p w:rsidR="00DF3903" w:rsidRDefault="00ED4771" w:rsidP="00D678E2">
      <w:pPr>
        <w:numPr>
          <w:ilvl w:val="0"/>
          <w:numId w:val="24"/>
        </w:numPr>
        <w:tabs>
          <w:tab w:val="left" w:pos="993"/>
        </w:tabs>
        <w:ind w:left="0" w:firstLine="99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нагрузочной способности опор ВЛ;</w:t>
      </w:r>
    </w:p>
    <w:p w:rsidR="00DF3903" w:rsidRDefault="00ED4771" w:rsidP="00D678E2">
      <w:pPr>
        <w:numPr>
          <w:ilvl w:val="0"/>
          <w:numId w:val="24"/>
        </w:numPr>
        <w:tabs>
          <w:tab w:val="left" w:pos="993"/>
        </w:tabs>
        <w:ind w:left="0" w:firstLine="99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надежности;</w:t>
      </w:r>
    </w:p>
    <w:p w:rsidR="00DF3903" w:rsidRDefault="00ED4771" w:rsidP="00D678E2">
      <w:pPr>
        <w:numPr>
          <w:ilvl w:val="0"/>
          <w:numId w:val="24"/>
        </w:numPr>
        <w:tabs>
          <w:tab w:val="left" w:pos="993"/>
        </w:tabs>
        <w:ind w:left="0" w:firstLine="99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эксплуатационных характеристик, включая контрольно-измерительное</w:t>
      </w:r>
      <w:r>
        <w:rPr>
          <w:sz w:val="24"/>
          <w:szCs w:val="24"/>
        </w:rPr>
        <w:br/>
        <w:t>оборудование, ЗИП;</w:t>
      </w:r>
    </w:p>
    <w:p w:rsidR="00DF3903" w:rsidRDefault="00ED4771" w:rsidP="00D678E2">
      <w:pPr>
        <w:numPr>
          <w:ilvl w:val="0"/>
          <w:numId w:val="24"/>
        </w:numPr>
        <w:tabs>
          <w:tab w:val="left" w:pos="993"/>
        </w:tabs>
        <w:ind w:left="0" w:firstLine="99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допустимых стрел провеса волоконно-оптического кабеля при 15°С в предельных пролетах с учетом его вытяжки;</w:t>
      </w:r>
    </w:p>
    <w:p w:rsidR="00DF3903" w:rsidRPr="00806308" w:rsidRDefault="007617CC" w:rsidP="00806308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РД</w:t>
      </w:r>
      <w:r w:rsidR="00ED4771">
        <w:rPr>
          <w:sz w:val="24"/>
          <w:szCs w:val="24"/>
        </w:rPr>
        <w:t xml:space="preserve">, кроме прочего, должна содержать следующие документы гололедных и ветровые нагрузок с учетом коэффициентов п.п. 2.5.52 - 2.5.55 </w:t>
      </w:r>
      <w:hyperlink r:id="rId20" w:tooltip="&quot;Правила устройства электроустановок (ПУЭ). Оглавление&quot; (утв. Минэнерго России от 06.10.1999) Статус: Статус документа не определен" w:history="1">
        <w:r w:rsidR="00ED4771">
          <w:rPr>
            <w:rStyle w:val="af0"/>
            <w:color w:val="000000"/>
            <w:sz w:val="24"/>
            <w:szCs w:val="24"/>
          </w:rPr>
          <w:t>ПУЭ</w:t>
        </w:r>
      </w:hyperlink>
      <w:r w:rsidR="00ED4771">
        <w:rPr>
          <w:sz w:val="24"/>
          <w:szCs w:val="24"/>
        </w:rPr>
        <w:t xml:space="preserve"> (7 редакция)</w:t>
      </w:r>
      <w:r>
        <w:rPr>
          <w:sz w:val="24"/>
          <w:szCs w:val="24"/>
        </w:rPr>
        <w:t xml:space="preserve"> </w:t>
      </w:r>
      <w:r w:rsidR="00ED4771" w:rsidRPr="00806308">
        <w:rPr>
          <w:sz w:val="24"/>
          <w:szCs w:val="24"/>
        </w:rPr>
        <w:t>механической прочности опор и их закреплений в грунте, потенциала электрического поля, расчета на сближение эллипсов пляски ОКСН и фазных проводов.</w:t>
      </w:r>
    </w:p>
    <w:p w:rsidR="00DF3903" w:rsidRDefault="00ED4771">
      <w:pPr>
        <w:shd w:val="clear" w:color="auto" w:fill="FFFFFF"/>
        <w:spacing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подвеске на ВЛ ОК любого типа должна быть выполнена проверка опор и их закреплений в грунте с учетом дополнительных нагрузок, возникающих при этом.</w:t>
      </w:r>
    </w:p>
    <w:p w:rsidR="00DF3903" w:rsidRDefault="00ED4771">
      <w:pPr>
        <w:shd w:val="clear" w:color="auto" w:fill="FFFFFF"/>
        <w:spacing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Специальные переходы ВОЛС (автомобильные дороги, реки, ж/д дорога) выполнить отдельным томом. При согласовании документации пред</w:t>
      </w:r>
      <w:r w:rsidR="007617CC">
        <w:rPr>
          <w:sz w:val="24"/>
          <w:szCs w:val="24"/>
        </w:rPr>
        <w:t>о</w:t>
      </w:r>
      <w:r>
        <w:rPr>
          <w:sz w:val="24"/>
          <w:szCs w:val="24"/>
        </w:rPr>
        <w:t>став</w:t>
      </w:r>
      <w:r w:rsidR="007617CC">
        <w:rPr>
          <w:sz w:val="24"/>
          <w:szCs w:val="24"/>
        </w:rPr>
        <w:t>и</w:t>
      </w:r>
      <w:r>
        <w:rPr>
          <w:sz w:val="24"/>
          <w:szCs w:val="24"/>
        </w:rPr>
        <w:t>ть подтверждающие письма о запросе и выдаче технических условий на прохождение через автомобильные дороги, реки, ж/д дороги и т.д.</w:t>
      </w:r>
    </w:p>
    <w:p w:rsidR="00DF3903" w:rsidRDefault="00ED4771">
      <w:pPr>
        <w:shd w:val="clear" w:color="auto" w:fill="FFFFFF"/>
        <w:spacing w:line="274" w:lineRule="exact"/>
        <w:ind w:right="2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Раздел «проектирование ВЧ» - должен иметь следующий состав (исключить при необходимости):</w:t>
      </w:r>
    </w:p>
    <w:p w:rsidR="00DF3903" w:rsidRDefault="00ED4771">
      <w:pPr>
        <w:pStyle w:val="aff0"/>
        <w:widowControl/>
        <w:numPr>
          <w:ilvl w:val="0"/>
          <w:numId w:val="21"/>
        </w:numPr>
        <w:tabs>
          <w:tab w:val="left" w:pos="993"/>
        </w:tabs>
        <w:spacing w:after="0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расчет ВЧ тракта на пропускную способность;</w:t>
      </w:r>
    </w:p>
    <w:p w:rsidR="00DF3903" w:rsidRDefault="00ED4771">
      <w:pPr>
        <w:pStyle w:val="aff0"/>
        <w:numPr>
          <w:ilvl w:val="0"/>
          <w:numId w:val="21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схема организации ВЧ каналов связи;</w:t>
      </w:r>
    </w:p>
    <w:p w:rsidR="00DF3903" w:rsidRDefault="00ED4771">
      <w:pPr>
        <w:pStyle w:val="aff0"/>
        <w:numPr>
          <w:ilvl w:val="0"/>
          <w:numId w:val="21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схема электропитания оборудования ВЧ связи;</w:t>
      </w:r>
    </w:p>
    <w:p w:rsidR="00DF3903" w:rsidRDefault="00ED4771">
      <w:pPr>
        <w:pStyle w:val="af7"/>
        <w:widowControl/>
        <w:numPr>
          <w:ilvl w:val="0"/>
          <w:numId w:val="21"/>
        </w:numPr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расчёт затухания ВЧ тракта и надёжность системы;</w:t>
      </w:r>
    </w:p>
    <w:p w:rsidR="00DF3903" w:rsidRDefault="00ED4771">
      <w:pPr>
        <w:pStyle w:val="af7"/>
        <w:widowControl/>
        <w:numPr>
          <w:ilvl w:val="0"/>
          <w:numId w:val="21"/>
        </w:numPr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установка конденсатора связи с фильтром присоединения и ВЧ заградителем; </w:t>
      </w:r>
    </w:p>
    <w:p w:rsidR="00DF3903" w:rsidRDefault="00ED4771">
      <w:pPr>
        <w:pStyle w:val="af7"/>
        <w:widowControl/>
        <w:numPr>
          <w:ilvl w:val="0"/>
          <w:numId w:val="21"/>
        </w:numPr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подвеска ВЧ заградителя;</w:t>
      </w:r>
    </w:p>
    <w:p w:rsidR="00DF3903" w:rsidRDefault="00ED4771">
      <w:pPr>
        <w:pStyle w:val="af7"/>
        <w:widowControl/>
        <w:numPr>
          <w:ilvl w:val="0"/>
          <w:numId w:val="21"/>
        </w:numPr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схема монтажа высоковольтного оборудования на ПС;</w:t>
      </w:r>
    </w:p>
    <w:p w:rsidR="00DF3903" w:rsidRDefault="00ED4771">
      <w:pPr>
        <w:pStyle w:val="af7"/>
        <w:widowControl/>
        <w:numPr>
          <w:ilvl w:val="0"/>
          <w:numId w:val="21"/>
        </w:numPr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выбор частот ВЧ каналов;</w:t>
      </w:r>
    </w:p>
    <w:p w:rsidR="00DF3903" w:rsidRDefault="00ED4771">
      <w:pPr>
        <w:pStyle w:val="af7"/>
        <w:widowControl/>
        <w:numPr>
          <w:ilvl w:val="0"/>
          <w:numId w:val="21"/>
        </w:numPr>
        <w:spacing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шкаф аппаратуры ВЧ связи.</w:t>
      </w:r>
    </w:p>
    <w:p w:rsidR="00DF3903" w:rsidRDefault="00ED4771" w:rsidP="007617CC">
      <w:pPr>
        <w:widowControl/>
        <w:spacing w:line="276" w:lineRule="auto"/>
        <w:ind w:firstLine="567"/>
        <w:contextualSpacing/>
        <w:rPr>
          <w:highlight w:val="yellow"/>
        </w:rPr>
      </w:pPr>
      <w:r>
        <w:rPr>
          <w:sz w:val="24"/>
          <w:szCs w:val="24"/>
        </w:rPr>
        <w:lastRenderedPageBreak/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DF3903" w:rsidRDefault="00ED4771">
      <w:pPr>
        <w:pStyle w:val="aff0"/>
        <w:widowControl/>
        <w:numPr>
          <w:ilvl w:val="1"/>
          <w:numId w:val="11"/>
        </w:numPr>
        <w:spacing w:after="0" w:line="276" w:lineRule="auto"/>
        <w:ind w:left="0" w:firstLine="71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Техническая часть конкурсной документации должна быть предоставлена и согласована в полном объеме с ПАО «Россети Центр и Приволжье» - «Тулэнерго», Филиалом АО «СО ЕЭС» Тульское РДУ, филиалом ПАО «Россети»-Приокское ПМЭС, Филиалом АО «РИР Энерго» - «Орловская генерация», АО «Тулачермет» по факту получения положительного заключения экспертизы проектной документации.</w:t>
      </w:r>
    </w:p>
    <w:p w:rsidR="00BD60A2" w:rsidRDefault="00BD60A2" w:rsidP="00806308">
      <w:pPr>
        <w:pStyle w:val="aff0"/>
        <w:widowControl/>
        <w:spacing w:after="0" w:line="276" w:lineRule="auto"/>
        <w:ind w:left="0"/>
        <w:contextualSpacing/>
        <w:jc w:val="both"/>
        <w:rPr>
          <w:sz w:val="24"/>
          <w:szCs w:val="24"/>
        </w:rPr>
      </w:pPr>
    </w:p>
    <w:p w:rsidR="00DF3903" w:rsidRDefault="00ED4771">
      <w:pPr>
        <w:pStyle w:val="aff0"/>
        <w:widowControl/>
        <w:numPr>
          <w:ilvl w:val="0"/>
          <w:numId w:val="17"/>
        </w:numPr>
        <w:tabs>
          <w:tab w:val="left" w:pos="993"/>
        </w:tabs>
        <w:spacing w:before="120" w:after="0"/>
        <w:ind w:firstLine="16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Особые условия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Документацию (проектную, рабочую) в полном объеме (включая обосновывающие расчеты) представить Заказчику на материальных носителях, а именно:</w:t>
      </w:r>
    </w:p>
    <w:p w:rsidR="00DF3903" w:rsidRDefault="00ED4771">
      <w:pPr>
        <w:pStyle w:val="af7"/>
        <w:numPr>
          <w:ilvl w:val="0"/>
          <w:numId w:val="3"/>
        </w:numPr>
        <w:tabs>
          <w:tab w:val="left" w:pos="-4860"/>
          <w:tab w:val="left" w:pos="-4680"/>
          <w:tab w:val="left" w:pos="1080"/>
          <w:tab w:val="left" w:pos="1418"/>
          <w:tab w:val="left" w:pos="1701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в 3 (трех) экземплярах на бумажном носителе (окончательно количество экземпляров определяется филиалом ПАО «</w:t>
      </w:r>
      <w:r>
        <w:rPr>
          <w:rFonts w:eastAsia="BatangChe"/>
          <w:sz w:val="24"/>
          <w:szCs w:val="24"/>
        </w:rPr>
        <w:t>Россети</w:t>
      </w:r>
      <w:r>
        <w:rPr>
          <w:sz w:val="24"/>
          <w:szCs w:val="24"/>
        </w:rPr>
        <w:t xml:space="preserve"> Центр и Приволжье» - «Тулэнерго» из которых не менее 1 (одного) экземпляра в оригинале. Каждый том оригинала и копии ПД и РД должен быть прошит, заверен печатью и подписью руководителя, страницы пронумерованы. Все экземпляры томов копий ПД и РД должны быть заверены печатью проектной организации «Копия верна»;</w:t>
      </w:r>
    </w:p>
    <w:p w:rsidR="00DF3903" w:rsidRDefault="00ED4771">
      <w:pPr>
        <w:pStyle w:val="af7"/>
        <w:numPr>
          <w:ilvl w:val="0"/>
          <w:numId w:val="3"/>
        </w:numPr>
        <w:tabs>
          <w:tab w:val="left" w:pos="-4860"/>
          <w:tab w:val="left" w:pos="-4680"/>
          <w:tab w:val="left" w:pos="1080"/>
          <w:tab w:val="left" w:pos="1418"/>
          <w:tab w:val="left" w:pos="1701"/>
        </w:tabs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 электронном виде на цифровом носителе (в 2-х экземплярах) в формате: </w:t>
      </w:r>
      <w:r>
        <w:rPr>
          <w:sz w:val="24"/>
          <w:szCs w:val="24"/>
          <w:lang w:val="en-US"/>
        </w:rPr>
        <w:t>AutoCAD</w:t>
      </w:r>
      <w:r>
        <w:rPr>
          <w:sz w:val="24"/>
          <w:szCs w:val="24"/>
        </w:rPr>
        <w:t xml:space="preserve"> / </w:t>
      </w:r>
      <w:r>
        <w:rPr>
          <w:sz w:val="24"/>
          <w:szCs w:val="24"/>
          <w:lang w:val="en-US"/>
        </w:rPr>
        <w:t>NanoCAD</w:t>
      </w:r>
      <w:r>
        <w:rPr>
          <w:sz w:val="24"/>
          <w:szCs w:val="24"/>
        </w:rPr>
        <w:t xml:space="preserve"> или т.п.; формате pdf для документов с текстовым и графическим содержанием; xls, xlsx для сводки затрат, сводного сметного расчета стоимости строительства, объектных сметных расчетов (смет), сметных расчетов на отдельные виды затрат; xml для локальных сметных расчетов (смет) на всех этапах проектирования в том числе её согласования</w:t>
      </w:r>
      <w:r w:rsidR="007617CC">
        <w:rPr>
          <w:sz w:val="24"/>
          <w:szCs w:val="24"/>
        </w:rPr>
        <w:t>.</w:t>
      </w:r>
    </w:p>
    <w:p w:rsidR="00DF3903" w:rsidRDefault="00ED4771">
      <w:pPr>
        <w:tabs>
          <w:tab w:val="left" w:pos="-4860"/>
          <w:tab w:val="left" w:pos="-4680"/>
          <w:tab w:val="left" w:pos="1080"/>
          <w:tab w:val="left" w:pos="1418"/>
          <w:tab w:val="left" w:pos="170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>
        <w:rPr>
          <w:spacing w:val="4"/>
          <w:sz w:val="24"/>
          <w:szCs w:val="24"/>
        </w:rPr>
        <w:t xml:space="preserve"> Не допускается передача документации в </w:t>
      </w:r>
      <w:r>
        <w:rPr>
          <w:sz w:val="24"/>
          <w:szCs w:val="24"/>
        </w:rPr>
        <w:t>формате</w:t>
      </w:r>
      <w:r>
        <w:rPr>
          <w:spacing w:val="4"/>
          <w:sz w:val="24"/>
          <w:szCs w:val="24"/>
        </w:rPr>
        <w:t xml:space="preserve"> </w:t>
      </w:r>
      <w:r>
        <w:rPr>
          <w:spacing w:val="4"/>
          <w:sz w:val="24"/>
          <w:szCs w:val="24"/>
          <w:lang w:val="en-US"/>
        </w:rPr>
        <w:t>Adobe</w:t>
      </w:r>
      <w:r>
        <w:rPr>
          <w:spacing w:val="4"/>
          <w:sz w:val="24"/>
          <w:szCs w:val="24"/>
        </w:rPr>
        <w:t xml:space="preserve"> </w:t>
      </w:r>
      <w:r>
        <w:rPr>
          <w:spacing w:val="4"/>
          <w:sz w:val="24"/>
          <w:szCs w:val="24"/>
          <w:lang w:val="en-US"/>
        </w:rPr>
        <w:t>Acrobat</w:t>
      </w:r>
      <w:r>
        <w:rPr>
          <w:spacing w:val="4"/>
          <w:sz w:val="24"/>
          <w:szCs w:val="24"/>
        </w:rPr>
        <w:t xml:space="preserve"> с пофайловым разделением страниц.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Оформление текстовых и графических материалов, входящих в состав проектной и рабочей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rStyle w:val="FontStyle20"/>
          <w:sz w:val="24"/>
        </w:rPr>
        <w:t>До направления проектной и рабочей документации на согласование, предоставить в Тульское РДУ полный перечень разрабатываемой документации для определения состава ПД, РД необходимой для согласования.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 направлении откорректированных материалов ПД и РД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Разработанная проектная, рабочая и сметная документация являются собственностью Заказчика и передача ее третьим лицам без его согласия запрещается.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Проектная организация обеспечивает:</w:t>
      </w:r>
    </w:p>
    <w:p w:rsidR="00DF3903" w:rsidRDefault="00ED4771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:rsidR="00DF3903" w:rsidRDefault="00ED4771">
      <w:pPr>
        <w:tabs>
          <w:tab w:val="left" w:pos="1080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>
        <w:rPr>
          <w:sz w:val="24"/>
          <w:szCs w:val="24"/>
        </w:rPr>
        <w:tab/>
        <w:t xml:space="preserve">сопровождение документации в органах экспертизы и обеспечивает получение </w:t>
      </w:r>
      <w:r>
        <w:rPr>
          <w:sz w:val="24"/>
          <w:szCs w:val="24"/>
        </w:rPr>
        <w:lastRenderedPageBreak/>
        <w:t>положительных заключений;</w:t>
      </w:r>
    </w:p>
    <w:p w:rsidR="00DF3903" w:rsidRDefault="00ED4771">
      <w:pPr>
        <w:tabs>
          <w:tab w:val="left" w:pos="1080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>
        <w:rPr>
          <w:sz w:val="24"/>
          <w:szCs w:val="24"/>
        </w:rPr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DF3903" w:rsidRDefault="00ED4771">
      <w:pPr>
        <w:tabs>
          <w:tab w:val="left" w:pos="1080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Не допускается передача проектной документации в органы экспертизы без получения согласования филиала ПАО «Россети Центр и Приволжье» - «Тулэнерго», Филиалом АО «СО ЕЭС» Тульское РДУ, собственников объектов, технологически связанных с объектом проектирования.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необходимости, при соответствующем обосновании).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Проектная организация выполняет весь комплекс работ, в том числе связанных с получением исходно-разрешительной документации для проектирования.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sz w:val="24"/>
          <w:szCs w:val="24"/>
          <w:lang w:eastAsia="ar-SA"/>
        </w:rPr>
        <w:t xml:space="preserve">Расчеты электроэнергетических режимов должны быть выполнены на основании перспективных расчетных моделей электроэнергетической системы для расчетов установившихся электроэнергетических режимов в сети напряжением 110 кВ и выше (далее - ПРМ), представленных Филиалом АО «СО ЕЭС» ОДУ Центра в соответствии с Порядком раскрытия цифровых информационных моделей электроэнергетических систем </w:t>
      </w:r>
      <w:r>
        <w:rPr>
          <w:sz w:val="24"/>
          <w:szCs w:val="24"/>
          <w:lang w:eastAsia="ar-SA"/>
        </w:rPr>
        <w:br/>
        <w:t>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электроэнергетики, утвержденным приказом Минэнерго России от 17.02.2023 № 82</w:t>
      </w:r>
      <w:r>
        <w:footnoteReference w:id="1"/>
      </w:r>
      <w:r>
        <w:rPr>
          <w:sz w:val="24"/>
          <w:szCs w:val="24"/>
          <w:lang w:eastAsia="ar-SA"/>
        </w:rPr>
        <w:t>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Направление запроса в Филиал АО «СО ЕЭС» ОДУ Центра для получения ПРМ или их фрагментов, указанных в пункте 7.11, осуществляется </w:t>
      </w:r>
      <w:r>
        <w:rPr>
          <w:bCs/>
          <w:iCs/>
          <w:sz w:val="24"/>
          <w:szCs w:val="24"/>
        </w:rPr>
        <w:t xml:space="preserve">филиалом ПАО «Россети Центр и Приволжье» - «Тулэнерго» </w:t>
      </w:r>
      <w:r>
        <w:rPr>
          <w:sz w:val="24"/>
          <w:szCs w:val="24"/>
        </w:rPr>
        <w:t>либо привлеченной им проектной организацией.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Расчетные модели, используемые при проведении соответствующих расчетов, формируются филиалом ПАО «Россети Центр и Приволжье» - «Тулэнерго» либо привлеченной им проектной организацией на основе ПРМ, полученных от Филиала АО «СО ЕЭС» ОДУ Центра, в форматах программных комплексов, предназначенных для выполнения расчетов установившихся режимов и токов короткого замыкания, используемых системным оператором для формирования перспективных расчетных моделей и опубликованных на официальном сайте АО «СО ЕЭС» в разделе Деятельность/Развитие энергосистем/Данные для проектирования» в информационно-телекоммуникационной сети «Интернет».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При направлении материалов с результатами расчетов установившихся электроэнергетических режимов в сети напряжением 110 кВ и выше на согласование в адрес Тульского РДУ, должны быть приложены расчетные модели с учетом определенных в работе технических решений по строительству (реконструкции) объекта и технических решений по развитию </w:t>
      </w:r>
      <w:r>
        <w:rPr>
          <w:sz w:val="24"/>
          <w:szCs w:val="24"/>
        </w:rPr>
        <w:lastRenderedPageBreak/>
        <w:t>электрических сетей (при первичном направлении результатов расчетов и при внесении изменений в направленные ранее расчетные модели), сформированные в соответствии с пунктом 7.13.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Сокращения в задании на проектирование приняты согласно Приложению №2 к ТЗ.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DF3903" w:rsidRDefault="00ED4771">
      <w:pPr>
        <w:pStyle w:val="aff0"/>
        <w:widowControl/>
        <w:numPr>
          <w:ilvl w:val="1"/>
          <w:numId w:val="18"/>
        </w:numPr>
        <w:spacing w:after="0"/>
        <w:ind w:left="6" w:firstLine="703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Применяемое при проектировании силовое оборудование, устройства РЗА, АСУ ТП и связи, АСУЭ,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DF3903" w:rsidRDefault="00ED4771" w:rsidP="007617CC">
      <w:pPr>
        <w:pStyle w:val="aff0"/>
        <w:widowControl/>
        <w:numPr>
          <w:ilvl w:val="1"/>
          <w:numId w:val="18"/>
        </w:numPr>
        <w:spacing w:after="0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 ноября 2020 г. N 782н).</w:t>
      </w:r>
    </w:p>
    <w:p w:rsidR="00DF3903" w:rsidRDefault="00ED4771">
      <w:pPr>
        <w:pStyle w:val="aff0"/>
        <w:widowControl/>
        <w:numPr>
          <w:ilvl w:val="0"/>
          <w:numId w:val="18"/>
        </w:numPr>
        <w:tabs>
          <w:tab w:val="left" w:pos="993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Выделение этапов строительства.</w:t>
      </w:r>
    </w:p>
    <w:p w:rsidR="00DF3903" w:rsidRDefault="00ED4771">
      <w:pPr>
        <w:pStyle w:val="aff0"/>
        <w:widowControl/>
        <w:tabs>
          <w:tab w:val="left" w:pos="993"/>
        </w:tabs>
        <w:spacing w:after="0"/>
        <w:ind w:left="851" w:hanging="142"/>
        <w:jc w:val="both"/>
        <w:rPr>
          <w:sz w:val="24"/>
          <w:szCs w:val="24"/>
        </w:rPr>
      </w:pPr>
      <w:r>
        <w:rPr>
          <w:sz w:val="24"/>
          <w:szCs w:val="24"/>
        </w:rPr>
        <w:t>Выделение этапов строительства не требуется.</w:t>
      </w:r>
    </w:p>
    <w:p w:rsidR="00DF3903" w:rsidRDefault="00ED4771">
      <w:pPr>
        <w:pStyle w:val="aff0"/>
        <w:widowControl/>
        <w:numPr>
          <w:ilvl w:val="0"/>
          <w:numId w:val="18"/>
        </w:numPr>
        <w:tabs>
          <w:tab w:val="left" w:pos="993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Сроки выполнения и условия приемки работ</w:t>
      </w:r>
      <w:r w:rsidR="007617CC">
        <w:rPr>
          <w:b/>
          <w:sz w:val="24"/>
          <w:szCs w:val="24"/>
        </w:rPr>
        <w:t>.</w:t>
      </w:r>
    </w:p>
    <w:p w:rsidR="00DF3903" w:rsidRDefault="00ED4771">
      <w:pPr>
        <w:tabs>
          <w:tab w:val="left" w:pos="851"/>
        </w:tabs>
        <w:ind w:firstLine="709"/>
        <w:jc w:val="both"/>
        <w:rPr>
          <w:rFonts w:eastAsia="Batang"/>
          <w:bCs/>
          <w:iCs/>
          <w:sz w:val="24"/>
          <w:szCs w:val="24"/>
          <w:lang w:eastAsia="ko-KR"/>
        </w:rPr>
      </w:pPr>
      <w:r>
        <w:rPr>
          <w:rFonts w:eastAsia="Batang"/>
          <w:bCs/>
          <w:iCs/>
          <w:sz w:val="24"/>
          <w:szCs w:val="24"/>
          <w:lang w:eastAsia="ko-KR"/>
        </w:rPr>
        <w:t xml:space="preserve">Сроки выполнения работ: начало – с даты подписания договора, окончание – до ____________ </w:t>
      </w:r>
      <w:r>
        <w:rPr>
          <w:rFonts w:eastAsia="Batang"/>
          <w:bCs/>
          <w:iCs/>
          <w:sz w:val="24"/>
          <w:szCs w:val="24"/>
          <w:lang w:eastAsia="ko-KR"/>
        </w:rPr>
        <w:lastRenderedPageBreak/>
        <w:t>г. Раздел «Основные технические решения» (ОТР) должны быть разработаны и согласованы с Заказчиком до _____________ г.</w:t>
      </w:r>
    </w:p>
    <w:p w:rsidR="00DF3903" w:rsidRDefault="00ED4771">
      <w:pPr>
        <w:tabs>
          <w:tab w:val="left" w:pos="851"/>
        </w:tabs>
        <w:ind w:firstLine="709"/>
        <w:jc w:val="both"/>
        <w:rPr>
          <w:rFonts w:eastAsia="Batang"/>
          <w:bCs/>
          <w:iCs/>
          <w:sz w:val="24"/>
          <w:szCs w:val="24"/>
          <w:lang w:eastAsia="ko-KR"/>
        </w:rPr>
      </w:pPr>
      <w:r>
        <w:rPr>
          <w:rFonts w:eastAsia="Batang"/>
          <w:bCs/>
          <w:iCs/>
          <w:sz w:val="24"/>
          <w:szCs w:val="24"/>
          <w:lang w:eastAsia="ko-KR"/>
        </w:rPr>
        <w:t>Приемка работ осуществляется после завершения всего объема работ, указанного в данном ТЗ.</w:t>
      </w:r>
    </w:p>
    <w:p w:rsidR="00DF3903" w:rsidRDefault="00ED4771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DF3903" w:rsidRDefault="00ED4771">
      <w:pPr>
        <w:pStyle w:val="aff0"/>
        <w:widowControl/>
        <w:numPr>
          <w:ilvl w:val="0"/>
          <w:numId w:val="18"/>
        </w:numPr>
        <w:tabs>
          <w:tab w:val="left" w:pos="993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мерах по предоставлению национального режима в соответствии с </w:t>
      </w:r>
      <w:hyperlink r:id="rId21" w:tooltip="&quot;О мерах по предоставлению национального режима при осуществлении закупок товаров, работ ...&quot; Постановление Правительства РФ от 23.12.2024 N 1875 Статус: Действующая редакция документа (действ. c 19.02.2025)" w:history="1">
        <w:r>
          <w:rPr>
            <w:sz w:val="24"/>
            <w:szCs w:val="24"/>
          </w:rPr>
          <w:t>постановлением Правительства РФ от 23.12.2024 №1875</w:t>
        </w:r>
      </w:hyperlink>
      <w:r w:rsidR="007617CC">
        <w:rPr>
          <w:sz w:val="24"/>
          <w:szCs w:val="24"/>
        </w:rPr>
        <w:t>.</w:t>
      </w:r>
    </w:p>
    <w:p w:rsidR="00DF3903" w:rsidRDefault="00DF3903">
      <w:pPr>
        <w:tabs>
          <w:tab w:val="left" w:pos="851"/>
        </w:tabs>
        <w:ind w:firstLine="709"/>
        <w:jc w:val="both"/>
        <w:rPr>
          <w:rFonts w:eastAsia="Batang"/>
          <w:bCs/>
          <w:iCs/>
          <w:sz w:val="24"/>
          <w:szCs w:val="24"/>
          <w:lang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6520"/>
      </w:tblGrid>
      <w:tr w:rsidR="00DF3903" w:rsidTr="00EE1816">
        <w:trPr>
          <w:trHeight w:val="604"/>
        </w:trPr>
        <w:tc>
          <w:tcPr>
            <w:tcW w:w="97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03" w:rsidRDefault="00ED4771">
            <w:pPr>
              <w:tabs>
                <w:tab w:val="left" w:pos="851"/>
              </w:tabs>
              <w:ind w:firstLine="709"/>
              <w:jc w:val="both"/>
              <w:rPr>
                <w:rFonts w:eastAsia="Batang"/>
                <w:bCs/>
                <w:iCs/>
                <w:sz w:val="24"/>
                <w:szCs w:val="24"/>
                <w:lang w:eastAsia="ko-KR"/>
              </w:rPr>
            </w:pPr>
            <w:r>
              <w:rPr>
                <w:rFonts w:eastAsia="Batang"/>
                <w:bCs/>
                <w:iCs/>
                <w:sz w:val="24"/>
                <w:szCs w:val="24"/>
                <w:lang w:eastAsia="ko-KR"/>
              </w:rPr>
              <w:t>Предоставление национального режима в соответствии с ПП 1875 от 23.12.2024.</w:t>
            </w:r>
          </w:p>
        </w:tc>
      </w:tr>
      <w:tr w:rsidR="00DF3903" w:rsidTr="00EE1816">
        <w:trPr>
          <w:trHeight w:val="823"/>
        </w:trPr>
        <w:tc>
          <w:tcPr>
            <w:tcW w:w="3227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tabs>
                <w:tab w:val="left" w:pos="851"/>
              </w:tabs>
              <w:ind w:left="22"/>
              <w:jc w:val="center"/>
              <w:rPr>
                <w:rFonts w:eastAsia="Batang"/>
                <w:bCs/>
                <w:iCs/>
                <w:sz w:val="24"/>
                <w:szCs w:val="24"/>
                <w:lang w:eastAsia="ko-KR"/>
              </w:rPr>
            </w:pPr>
            <w:r>
              <w:rPr>
                <w:rFonts w:eastAsia="Batang"/>
                <w:bCs/>
                <w:iCs/>
                <w:sz w:val="24"/>
                <w:szCs w:val="24"/>
                <w:lang w:eastAsia="ko-KR"/>
              </w:rPr>
              <w:t>ОКПД 2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tabs>
                <w:tab w:val="left" w:pos="851"/>
              </w:tabs>
              <w:rPr>
                <w:rFonts w:eastAsia="Batang"/>
                <w:bCs/>
                <w:iCs/>
                <w:sz w:val="24"/>
                <w:szCs w:val="24"/>
                <w:lang w:eastAsia="ko-KR"/>
              </w:rPr>
            </w:pPr>
            <w:r>
              <w:rPr>
                <w:rFonts w:eastAsia="Batang"/>
                <w:bCs/>
                <w:iCs/>
                <w:sz w:val="24"/>
                <w:szCs w:val="24"/>
                <w:lang w:eastAsia="ko-KR"/>
              </w:rPr>
              <w:t>Мера применения национального режима (запрет, ограничение, преимущество)</w:t>
            </w:r>
          </w:p>
        </w:tc>
      </w:tr>
      <w:tr w:rsidR="00DF3903" w:rsidTr="00EE1816">
        <w:trPr>
          <w:trHeight w:val="850"/>
        </w:trPr>
        <w:tc>
          <w:tcPr>
            <w:tcW w:w="3227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tabs>
                <w:tab w:val="left" w:pos="851"/>
              </w:tabs>
              <w:ind w:left="22"/>
              <w:jc w:val="center"/>
              <w:rPr>
                <w:rFonts w:eastAsia="Batang"/>
                <w:bCs/>
                <w:iCs/>
                <w:sz w:val="24"/>
                <w:szCs w:val="24"/>
                <w:lang w:eastAsia="ko-KR"/>
              </w:rPr>
            </w:pPr>
            <w:r>
              <w:rPr>
                <w:rFonts w:eastAsia="Batang"/>
                <w:bCs/>
                <w:iCs/>
                <w:sz w:val="24"/>
                <w:szCs w:val="24"/>
                <w:lang w:eastAsia="ko-KR"/>
              </w:rPr>
              <w:t>71.12.13.000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03" w:rsidRDefault="00ED4771">
            <w:pPr>
              <w:tabs>
                <w:tab w:val="left" w:pos="851"/>
              </w:tabs>
              <w:rPr>
                <w:rFonts w:eastAsia="Batang"/>
                <w:bCs/>
                <w:iCs/>
                <w:sz w:val="24"/>
                <w:szCs w:val="24"/>
                <w:lang w:eastAsia="ko-KR"/>
              </w:rPr>
            </w:pPr>
            <w:r>
              <w:rPr>
                <w:rFonts w:eastAsia="Batang"/>
                <w:bCs/>
                <w:iCs/>
                <w:sz w:val="24"/>
                <w:szCs w:val="24"/>
                <w:lang w:eastAsia="ko-KR"/>
              </w:rPr>
              <w:t>Не применяется</w:t>
            </w:r>
          </w:p>
        </w:tc>
      </w:tr>
    </w:tbl>
    <w:p w:rsidR="00DF3903" w:rsidRDefault="00ED4771">
      <w:pPr>
        <w:pStyle w:val="aff0"/>
        <w:widowControl/>
        <w:numPr>
          <w:ilvl w:val="0"/>
          <w:numId w:val="18"/>
        </w:numPr>
        <w:tabs>
          <w:tab w:val="left" w:pos="993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Исходные данные для разработки проектной документации</w:t>
      </w:r>
    </w:p>
    <w:p w:rsidR="00DF3903" w:rsidRDefault="00ED4771">
      <w:pPr>
        <w:tabs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DF3903" w:rsidRDefault="00DF3903">
      <w:pPr>
        <w:tabs>
          <w:tab w:val="left" w:pos="180"/>
        </w:tabs>
        <w:ind w:firstLine="567"/>
        <w:jc w:val="both"/>
        <w:rPr>
          <w:sz w:val="24"/>
          <w:szCs w:val="24"/>
        </w:rPr>
      </w:pPr>
    </w:p>
    <w:p w:rsidR="00DF3903" w:rsidRDefault="00DF3903">
      <w:pPr>
        <w:tabs>
          <w:tab w:val="left" w:pos="1080"/>
        </w:tabs>
        <w:jc w:val="both"/>
        <w:rPr>
          <w:sz w:val="24"/>
          <w:szCs w:val="24"/>
        </w:rPr>
      </w:pPr>
    </w:p>
    <w:p w:rsidR="00DF3903" w:rsidRDefault="00ED4771">
      <w:pPr>
        <w:tabs>
          <w:tab w:val="left" w:pos="1080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Приложение 1: Перечень нормативно-технических документов, определяющих требования к оформлению и содержанию проектной документации</w:t>
      </w:r>
    </w:p>
    <w:p w:rsidR="00DF3903" w:rsidRDefault="00DF3903">
      <w:pPr>
        <w:tabs>
          <w:tab w:val="left" w:pos="1080"/>
        </w:tabs>
        <w:ind w:firstLine="709"/>
        <w:jc w:val="both"/>
        <w:rPr>
          <w:sz w:val="24"/>
          <w:szCs w:val="24"/>
        </w:rPr>
      </w:pPr>
    </w:p>
    <w:p w:rsidR="00DF3903" w:rsidRDefault="00ED4771">
      <w:pPr>
        <w:tabs>
          <w:tab w:val="left" w:pos="180"/>
        </w:tabs>
        <w:ind w:left="1701" w:hanging="1701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2: Перечень сокращений</w:t>
      </w:r>
    </w:p>
    <w:p w:rsidR="00DF3903" w:rsidRDefault="00DF3903">
      <w:pPr>
        <w:tabs>
          <w:tab w:val="left" w:pos="180"/>
        </w:tabs>
        <w:ind w:left="1701" w:hanging="1701"/>
        <w:jc w:val="both"/>
        <w:rPr>
          <w:sz w:val="24"/>
          <w:szCs w:val="24"/>
        </w:rPr>
      </w:pPr>
    </w:p>
    <w:p w:rsidR="00DF3903" w:rsidRDefault="00ED4771">
      <w:pPr>
        <w:tabs>
          <w:tab w:val="left" w:pos="180"/>
        </w:tabs>
        <w:ind w:right="707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3: Источники данных и перечни событий для организации мониторинга функционирования устройств РЗА на ПС</w:t>
      </w:r>
    </w:p>
    <w:p w:rsidR="00DF3903" w:rsidRDefault="00DF3903">
      <w:pPr>
        <w:tabs>
          <w:tab w:val="left" w:pos="180"/>
        </w:tabs>
        <w:ind w:left="1701" w:hanging="1701"/>
        <w:jc w:val="both"/>
        <w:rPr>
          <w:sz w:val="24"/>
          <w:szCs w:val="24"/>
        </w:rPr>
      </w:pPr>
    </w:p>
    <w:p w:rsidR="00DF3903" w:rsidRDefault="00ED4771">
      <w:pPr>
        <w:tabs>
          <w:tab w:val="left" w:pos="180"/>
        </w:tabs>
        <w:ind w:left="1701" w:hanging="1701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4: Результаты расчетов установившихся режимов</w:t>
      </w:r>
    </w:p>
    <w:p w:rsidR="00DF3903" w:rsidRDefault="00DF3903">
      <w:pPr>
        <w:tabs>
          <w:tab w:val="left" w:pos="180"/>
        </w:tabs>
        <w:ind w:left="1701" w:hanging="1701"/>
        <w:jc w:val="both"/>
        <w:rPr>
          <w:sz w:val="24"/>
          <w:szCs w:val="24"/>
        </w:rPr>
      </w:pPr>
    </w:p>
    <w:p w:rsidR="00DF3903" w:rsidRDefault="00DF3903">
      <w:pPr>
        <w:tabs>
          <w:tab w:val="left" w:pos="180"/>
        </w:tabs>
        <w:jc w:val="both"/>
        <w:rPr>
          <w:sz w:val="24"/>
          <w:szCs w:val="24"/>
        </w:rPr>
      </w:pPr>
    </w:p>
    <w:p w:rsidR="00DF3903" w:rsidRDefault="00ED4771">
      <w:pPr>
        <w:tabs>
          <w:tab w:val="left" w:pos="180"/>
          <w:tab w:val="left" w:pos="1276"/>
          <w:tab w:val="left" w:pos="1701"/>
        </w:tabs>
        <w:ind w:right="14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5: Идентификационные признаки строящихся и реконструируемых зданий и сооружений</w:t>
      </w:r>
    </w:p>
    <w:p w:rsidR="00DF3903" w:rsidRDefault="00DF3903">
      <w:pPr>
        <w:tabs>
          <w:tab w:val="left" w:pos="1080"/>
        </w:tabs>
        <w:jc w:val="both"/>
        <w:rPr>
          <w:sz w:val="24"/>
          <w:szCs w:val="24"/>
        </w:rPr>
      </w:pPr>
    </w:p>
    <w:p w:rsidR="00DF3903" w:rsidRDefault="00DF3903">
      <w:pPr>
        <w:tabs>
          <w:tab w:val="left" w:pos="180"/>
        </w:tabs>
        <w:jc w:val="both"/>
        <w:rPr>
          <w:sz w:val="24"/>
          <w:szCs w:val="24"/>
        </w:rPr>
      </w:pPr>
    </w:p>
    <w:p w:rsidR="00DF3903" w:rsidRDefault="00ED4771">
      <w:pPr>
        <w:tabs>
          <w:tab w:val="left" w:pos="180"/>
          <w:tab w:val="left" w:pos="851"/>
          <w:tab w:val="left" w:pos="2552"/>
        </w:tabs>
        <w:ind w:right="4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6: Сведения о строящихся, реконструируемых объектах согласно Классификатору</w:t>
      </w:r>
    </w:p>
    <w:p w:rsidR="00DF3903" w:rsidRDefault="00DF3903">
      <w:pPr>
        <w:tabs>
          <w:tab w:val="left" w:pos="180"/>
          <w:tab w:val="left" w:pos="851"/>
          <w:tab w:val="left" w:pos="2552"/>
        </w:tabs>
        <w:ind w:right="49"/>
        <w:jc w:val="both"/>
        <w:rPr>
          <w:sz w:val="24"/>
          <w:szCs w:val="24"/>
        </w:rPr>
      </w:pPr>
    </w:p>
    <w:p w:rsidR="00DF3903" w:rsidRDefault="00DF3903">
      <w:pPr>
        <w:tabs>
          <w:tab w:val="left" w:pos="180"/>
          <w:tab w:val="left" w:pos="851"/>
          <w:tab w:val="left" w:pos="2552"/>
        </w:tabs>
        <w:ind w:right="49"/>
        <w:jc w:val="both"/>
        <w:rPr>
          <w:sz w:val="24"/>
          <w:szCs w:val="24"/>
        </w:rPr>
      </w:pPr>
    </w:p>
    <w:p w:rsidR="001775FF" w:rsidRDefault="00ED4771">
      <w:pPr>
        <w:tabs>
          <w:tab w:val="left" w:pos="180"/>
          <w:tab w:val="left" w:pos="851"/>
          <w:tab w:val="left" w:pos="2552"/>
        </w:tabs>
        <w:ind w:right="1558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7: Таблица измерений</w:t>
      </w:r>
    </w:p>
    <w:p w:rsidR="001775FF" w:rsidRDefault="001775FF">
      <w:pPr>
        <w:tabs>
          <w:tab w:val="left" w:pos="180"/>
          <w:tab w:val="left" w:pos="851"/>
          <w:tab w:val="left" w:pos="2552"/>
        </w:tabs>
        <w:ind w:right="1558"/>
        <w:jc w:val="both"/>
        <w:rPr>
          <w:sz w:val="24"/>
          <w:szCs w:val="24"/>
        </w:rPr>
      </w:pPr>
    </w:p>
    <w:p w:rsidR="001775FF" w:rsidRDefault="001775FF">
      <w:pPr>
        <w:tabs>
          <w:tab w:val="left" w:pos="180"/>
          <w:tab w:val="left" w:pos="851"/>
          <w:tab w:val="left" w:pos="2552"/>
        </w:tabs>
        <w:ind w:right="1558"/>
        <w:jc w:val="both"/>
        <w:rPr>
          <w:sz w:val="24"/>
          <w:szCs w:val="24"/>
        </w:rPr>
      </w:pPr>
    </w:p>
    <w:p w:rsidR="00DF3903" w:rsidRDefault="001775FF">
      <w:pPr>
        <w:tabs>
          <w:tab w:val="left" w:pos="180"/>
          <w:tab w:val="left" w:pos="851"/>
          <w:tab w:val="left" w:pos="2552"/>
        </w:tabs>
        <w:ind w:right="1558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8: Ведомость объемов работ</w:t>
      </w:r>
    </w:p>
    <w:p w:rsidR="00DF3903" w:rsidRDefault="00DF3903">
      <w:pPr>
        <w:tabs>
          <w:tab w:val="left" w:pos="180"/>
          <w:tab w:val="left" w:pos="851"/>
          <w:tab w:val="left" w:pos="2552"/>
        </w:tabs>
        <w:ind w:right="49"/>
        <w:jc w:val="both"/>
        <w:rPr>
          <w:sz w:val="24"/>
          <w:szCs w:val="24"/>
        </w:rPr>
      </w:pPr>
    </w:p>
    <w:p w:rsidR="00DF3903" w:rsidRDefault="00DF3903">
      <w:pPr>
        <w:rPr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33"/>
        <w:gridCol w:w="4190"/>
        <w:gridCol w:w="2616"/>
      </w:tblGrid>
      <w:tr w:rsidR="00DF3903">
        <w:trPr>
          <w:trHeight w:val="752"/>
        </w:trPr>
        <w:tc>
          <w:tcPr>
            <w:tcW w:w="1771" w:type="pct"/>
            <w:vAlign w:val="center"/>
          </w:tcPr>
          <w:p w:rsidR="00DF3903" w:rsidRDefault="00CF1F14">
            <w:pPr>
              <w:tabs>
                <w:tab w:val="left" w:pos="180"/>
              </w:tabs>
              <w:ind w:right="-1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И.о. заместителя</w:t>
            </w:r>
            <w:r w:rsidR="00ED4771">
              <w:rPr>
                <w:bCs/>
                <w:color w:val="000000" w:themeColor="text1"/>
                <w:sz w:val="24"/>
                <w:szCs w:val="24"/>
              </w:rPr>
              <w:t xml:space="preserve"> главного инженера по эксплуатации филиала «Тулэнерго»</w:t>
            </w:r>
          </w:p>
        </w:tc>
        <w:tc>
          <w:tcPr>
            <w:tcW w:w="1988" w:type="pct"/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DF3903" w:rsidRDefault="00CF1F14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А.В. Лаухин</w:t>
            </w:r>
          </w:p>
        </w:tc>
      </w:tr>
      <w:tr w:rsidR="00DF3903">
        <w:trPr>
          <w:trHeight w:val="752"/>
        </w:trPr>
        <w:tc>
          <w:tcPr>
            <w:tcW w:w="1771" w:type="pct"/>
            <w:vAlign w:val="center"/>
          </w:tcPr>
          <w:p w:rsidR="00DF3903" w:rsidRDefault="00ED4771">
            <w:pPr>
              <w:tabs>
                <w:tab w:val="left" w:pos="180"/>
              </w:tabs>
              <w:ind w:right="-1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Заместитель начальника </w:t>
            </w:r>
          </w:p>
          <w:p w:rsidR="00DF3903" w:rsidRDefault="00ED4771">
            <w:pPr>
              <w:tabs>
                <w:tab w:val="left" w:pos="180"/>
              </w:tabs>
              <w:ind w:right="-1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ЦУС филиала «Тулэнерго</w:t>
            </w:r>
          </w:p>
        </w:tc>
        <w:tc>
          <w:tcPr>
            <w:tcW w:w="1988" w:type="pct"/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DF3903" w:rsidRDefault="00ED4771">
            <w:pPr>
              <w:tabs>
                <w:tab w:val="left" w:pos="180"/>
              </w:tabs>
              <w:ind w:right="-1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М.Ю. Кипровский</w:t>
            </w:r>
          </w:p>
        </w:tc>
      </w:tr>
      <w:tr w:rsidR="00DF3903">
        <w:trPr>
          <w:trHeight w:val="752"/>
        </w:trPr>
        <w:tc>
          <w:tcPr>
            <w:tcW w:w="1771" w:type="pct"/>
            <w:vAlign w:val="center"/>
          </w:tcPr>
          <w:p w:rsidR="00DF3903" w:rsidRDefault="00ED4771">
            <w:pPr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Начальник службы РЗАиМ 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филиала «Тулэнерго</w:t>
            </w:r>
          </w:p>
        </w:tc>
        <w:tc>
          <w:tcPr>
            <w:tcW w:w="1988" w:type="pct"/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А.Ю. Быков</w:t>
            </w:r>
          </w:p>
        </w:tc>
      </w:tr>
      <w:tr w:rsidR="00DF3903">
        <w:trPr>
          <w:trHeight w:val="752"/>
        </w:trPr>
        <w:tc>
          <w:tcPr>
            <w:tcW w:w="1771" w:type="pct"/>
            <w:vAlign w:val="center"/>
          </w:tcPr>
          <w:p w:rsidR="00DF3903" w:rsidRDefault="00ED4771">
            <w:pPr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Начальник ДКиТАСУ</w:t>
            </w:r>
          </w:p>
        </w:tc>
        <w:tc>
          <w:tcPr>
            <w:tcW w:w="1988" w:type="pct"/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М.В. Селюто</w:t>
            </w:r>
          </w:p>
        </w:tc>
      </w:tr>
      <w:tr w:rsidR="00DF3903">
        <w:trPr>
          <w:trHeight w:val="752"/>
        </w:trPr>
        <w:tc>
          <w:tcPr>
            <w:tcW w:w="1771" w:type="pct"/>
            <w:vAlign w:val="center"/>
          </w:tcPr>
          <w:p w:rsidR="00DF3903" w:rsidRDefault="00ED4771">
            <w:pPr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Начальник УТРиЦ </w:t>
            </w:r>
          </w:p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rPr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филиала «Тулэнерго»</w:t>
            </w:r>
          </w:p>
        </w:tc>
        <w:tc>
          <w:tcPr>
            <w:tcW w:w="1988" w:type="pct"/>
            <w:vAlign w:val="center"/>
          </w:tcPr>
          <w:p w:rsidR="00DF3903" w:rsidRDefault="00DF3903">
            <w:pPr>
              <w:tabs>
                <w:tab w:val="left" w:pos="-15309"/>
                <w:tab w:val="left" w:pos="-5103"/>
                <w:tab w:val="left" w:pos="851"/>
              </w:tabs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DF3903" w:rsidRDefault="00ED4771">
            <w:pPr>
              <w:tabs>
                <w:tab w:val="left" w:pos="-15309"/>
                <w:tab w:val="left" w:pos="-5103"/>
                <w:tab w:val="left" w:pos="851"/>
              </w:tabs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А.Н. Зайцев</w:t>
            </w:r>
          </w:p>
        </w:tc>
      </w:tr>
    </w:tbl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D13262" w:rsidRDefault="00D13262">
      <w:pPr>
        <w:contextualSpacing/>
        <w:jc w:val="both"/>
        <w:rPr>
          <w:i/>
          <w:sz w:val="24"/>
          <w:szCs w:val="24"/>
        </w:rPr>
      </w:pPr>
    </w:p>
    <w:p w:rsidR="00B45E77" w:rsidRDefault="00B45E77">
      <w:pPr>
        <w:contextualSpacing/>
        <w:jc w:val="both"/>
        <w:rPr>
          <w:i/>
          <w:sz w:val="24"/>
          <w:szCs w:val="24"/>
        </w:rPr>
      </w:pPr>
    </w:p>
    <w:p w:rsidR="00B45E77" w:rsidRDefault="00B45E77">
      <w:pPr>
        <w:contextualSpacing/>
        <w:jc w:val="both"/>
        <w:rPr>
          <w:i/>
          <w:sz w:val="24"/>
          <w:szCs w:val="24"/>
        </w:rPr>
      </w:pPr>
    </w:p>
    <w:p w:rsidR="00B45E77" w:rsidRDefault="00B45E77">
      <w:pPr>
        <w:contextualSpacing/>
        <w:jc w:val="both"/>
        <w:rPr>
          <w:i/>
          <w:sz w:val="24"/>
          <w:szCs w:val="24"/>
        </w:rPr>
      </w:pPr>
    </w:p>
    <w:p w:rsidR="00B45E77" w:rsidRDefault="00B45E77">
      <w:pPr>
        <w:contextualSpacing/>
        <w:jc w:val="both"/>
        <w:rPr>
          <w:i/>
          <w:sz w:val="24"/>
          <w:szCs w:val="24"/>
        </w:rPr>
      </w:pPr>
    </w:p>
    <w:p w:rsidR="00B45E77" w:rsidRDefault="00B45E77">
      <w:pPr>
        <w:contextualSpacing/>
        <w:jc w:val="both"/>
        <w:rPr>
          <w:i/>
          <w:sz w:val="24"/>
          <w:szCs w:val="24"/>
        </w:rPr>
      </w:pPr>
    </w:p>
    <w:p w:rsidR="00D13262" w:rsidRDefault="00D13262">
      <w:pPr>
        <w:contextualSpacing/>
        <w:jc w:val="both"/>
        <w:rPr>
          <w:i/>
          <w:sz w:val="24"/>
          <w:szCs w:val="24"/>
        </w:rPr>
      </w:pPr>
    </w:p>
    <w:p w:rsidR="00D13262" w:rsidRDefault="00D13262">
      <w:pPr>
        <w:contextualSpacing/>
        <w:jc w:val="both"/>
        <w:rPr>
          <w:i/>
          <w:sz w:val="24"/>
          <w:szCs w:val="24"/>
        </w:rPr>
      </w:pPr>
    </w:p>
    <w:p w:rsidR="00D13262" w:rsidRDefault="00D13262">
      <w:pPr>
        <w:contextualSpacing/>
        <w:jc w:val="both"/>
        <w:rPr>
          <w:i/>
          <w:sz w:val="24"/>
          <w:szCs w:val="24"/>
        </w:rPr>
      </w:pPr>
    </w:p>
    <w:p w:rsidR="00D13262" w:rsidRDefault="00D13262">
      <w:pPr>
        <w:contextualSpacing/>
        <w:jc w:val="both"/>
        <w:rPr>
          <w:i/>
          <w:sz w:val="24"/>
          <w:szCs w:val="24"/>
        </w:rPr>
      </w:pPr>
    </w:p>
    <w:p w:rsidR="00D13262" w:rsidRDefault="00D13262">
      <w:pPr>
        <w:contextualSpacing/>
        <w:jc w:val="both"/>
        <w:rPr>
          <w:i/>
          <w:sz w:val="24"/>
          <w:szCs w:val="24"/>
        </w:rPr>
      </w:pPr>
    </w:p>
    <w:p w:rsidR="00DF3903" w:rsidRDefault="00DF3903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CF1F14" w:rsidRDefault="00CF1F14">
      <w:pPr>
        <w:contextualSpacing/>
        <w:jc w:val="both"/>
        <w:rPr>
          <w:i/>
          <w:sz w:val="24"/>
          <w:szCs w:val="24"/>
        </w:rPr>
      </w:pPr>
    </w:p>
    <w:p w:rsidR="00DF3903" w:rsidRDefault="00ED4771">
      <w:pPr>
        <w:contextualSpacing/>
        <w:jc w:val="both"/>
        <w:rPr>
          <w:i/>
          <w:sz w:val="18"/>
          <w:szCs w:val="24"/>
        </w:rPr>
      </w:pPr>
      <w:r>
        <w:rPr>
          <w:i/>
          <w:sz w:val="18"/>
          <w:szCs w:val="24"/>
        </w:rPr>
        <w:t>Исп.: Симанин А.И.</w:t>
      </w:r>
    </w:p>
    <w:p w:rsidR="00DF3903" w:rsidRDefault="00ED4771">
      <w:pPr>
        <w:rPr>
          <w:szCs w:val="24"/>
        </w:rPr>
      </w:pPr>
      <w:r>
        <w:rPr>
          <w:i/>
          <w:sz w:val="18"/>
          <w:szCs w:val="24"/>
        </w:rPr>
        <w:t>Тел. +7(4872) 47-87-31, вн. 2731</w:t>
      </w:r>
    </w:p>
    <w:sectPr w:rsidR="00DF3903">
      <w:headerReference w:type="default" r:id="rId22"/>
      <w:pgSz w:w="12240" w:h="15840"/>
      <w:pgMar w:top="1247" w:right="567" w:bottom="1247" w:left="1134" w:header="726" w:footer="0" w:gutter="0"/>
      <w:cols w:space="720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A9C6BBA"/>
  <w16cid:commentId w16cid:paraId="00000002" w16cid:durableId="3539A9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E29" w:rsidRDefault="00632E29">
      <w:r>
        <w:separator/>
      </w:r>
    </w:p>
  </w:endnote>
  <w:endnote w:type="continuationSeparator" w:id="0">
    <w:p w:rsidR="00632E29" w:rsidRDefault="0063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E29" w:rsidRDefault="00632E29">
      <w:r>
        <w:separator/>
      </w:r>
    </w:p>
  </w:footnote>
  <w:footnote w:type="continuationSeparator" w:id="0">
    <w:p w:rsidR="00632E29" w:rsidRDefault="00632E29">
      <w:r>
        <w:continuationSeparator/>
      </w:r>
    </w:p>
  </w:footnote>
  <w:footnote w:id="1">
    <w:p w:rsidR="0032645F" w:rsidRDefault="0032645F">
      <w:pPr>
        <w:pStyle w:val="aff6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0477234"/>
      <w:docPartObj>
        <w:docPartGallery w:val="Page Numbers (Top of Page)"/>
        <w:docPartUnique/>
      </w:docPartObj>
    </w:sdtPr>
    <w:sdtEndPr/>
    <w:sdtContent>
      <w:p w:rsidR="0032645F" w:rsidRDefault="0032645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A19">
          <w:rPr>
            <w:noProof/>
          </w:rPr>
          <w:t>27</w:t>
        </w:r>
        <w:r>
          <w:fldChar w:fldCharType="end"/>
        </w:r>
      </w:p>
    </w:sdtContent>
  </w:sdt>
  <w:p w:rsidR="0032645F" w:rsidRDefault="0032645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6417"/>
    <w:multiLevelType w:val="hybridMultilevel"/>
    <w:tmpl w:val="0B7CF4F2"/>
    <w:lvl w:ilvl="0" w:tplc="93802902">
      <w:start w:val="1"/>
      <w:numFmt w:val="decimal"/>
      <w:lvlText w:val="%1."/>
      <w:lvlJc w:val="left"/>
      <w:pPr>
        <w:ind w:left="720" w:hanging="360"/>
      </w:pPr>
    </w:lvl>
    <w:lvl w:ilvl="1" w:tplc="AA7E2F46">
      <w:start w:val="1"/>
      <w:numFmt w:val="lowerLetter"/>
      <w:lvlText w:val="%2."/>
      <w:lvlJc w:val="left"/>
      <w:pPr>
        <w:ind w:left="1440" w:hanging="360"/>
      </w:pPr>
    </w:lvl>
    <w:lvl w:ilvl="2" w:tplc="E51C24E8">
      <w:start w:val="1"/>
      <w:numFmt w:val="lowerRoman"/>
      <w:lvlText w:val="%3."/>
      <w:lvlJc w:val="right"/>
      <w:pPr>
        <w:ind w:left="2160" w:hanging="180"/>
      </w:pPr>
    </w:lvl>
    <w:lvl w:ilvl="3" w:tplc="257A32E0">
      <w:start w:val="1"/>
      <w:numFmt w:val="decimal"/>
      <w:lvlText w:val="%4."/>
      <w:lvlJc w:val="left"/>
      <w:pPr>
        <w:ind w:left="2880" w:hanging="360"/>
      </w:pPr>
    </w:lvl>
    <w:lvl w:ilvl="4" w:tplc="424607CE">
      <w:start w:val="1"/>
      <w:numFmt w:val="lowerLetter"/>
      <w:lvlText w:val="%5."/>
      <w:lvlJc w:val="left"/>
      <w:pPr>
        <w:ind w:left="3600" w:hanging="360"/>
      </w:pPr>
    </w:lvl>
    <w:lvl w:ilvl="5" w:tplc="A6BAAD40">
      <w:start w:val="1"/>
      <w:numFmt w:val="lowerRoman"/>
      <w:lvlText w:val="%6."/>
      <w:lvlJc w:val="right"/>
      <w:pPr>
        <w:ind w:left="4320" w:hanging="180"/>
      </w:pPr>
    </w:lvl>
    <w:lvl w:ilvl="6" w:tplc="1E9EF82C">
      <w:start w:val="1"/>
      <w:numFmt w:val="decimal"/>
      <w:lvlText w:val="%7."/>
      <w:lvlJc w:val="left"/>
      <w:pPr>
        <w:ind w:left="5040" w:hanging="360"/>
      </w:pPr>
    </w:lvl>
    <w:lvl w:ilvl="7" w:tplc="7350575C">
      <w:start w:val="1"/>
      <w:numFmt w:val="lowerLetter"/>
      <w:lvlText w:val="%8."/>
      <w:lvlJc w:val="left"/>
      <w:pPr>
        <w:ind w:left="5760" w:hanging="360"/>
      </w:pPr>
    </w:lvl>
    <w:lvl w:ilvl="8" w:tplc="D02A85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39C0"/>
    <w:multiLevelType w:val="hybridMultilevel"/>
    <w:tmpl w:val="5880BD9E"/>
    <w:lvl w:ilvl="0" w:tplc="E396B6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214463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2EC057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6E450D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2B28C2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F02DD8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FD64F1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8ADA8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68F54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242CE"/>
    <w:multiLevelType w:val="hybridMultilevel"/>
    <w:tmpl w:val="2EBE81AA"/>
    <w:lvl w:ilvl="0" w:tplc="C8A4E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44E58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74CB01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4588C8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720979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30A871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E2C339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98BE1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1F654B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F57A2B"/>
    <w:multiLevelType w:val="hybridMultilevel"/>
    <w:tmpl w:val="25B2A6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5762DD"/>
    <w:multiLevelType w:val="hybridMultilevel"/>
    <w:tmpl w:val="0C18521A"/>
    <w:lvl w:ilvl="0" w:tplc="22903C42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108084D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346ECA6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FCA0F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7FA92FC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70909C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7A4A0EC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F368CE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7C5658D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E06EFB"/>
    <w:multiLevelType w:val="hybridMultilevel"/>
    <w:tmpl w:val="E2C660AE"/>
    <w:lvl w:ilvl="0" w:tplc="63E2486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630C5C6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0BC11D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F881AB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DFE043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B40A25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9CB9B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9ECA47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F3C65B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F17B21"/>
    <w:multiLevelType w:val="multilevel"/>
    <w:tmpl w:val="8616A212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B1677B"/>
    <w:multiLevelType w:val="hybridMultilevel"/>
    <w:tmpl w:val="2E92F518"/>
    <w:lvl w:ilvl="0" w:tplc="3C061D1E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52424408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00F0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60FA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B44C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EC57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7E9C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A64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E6BE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F507A"/>
    <w:multiLevelType w:val="multilevel"/>
    <w:tmpl w:val="F530B97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9" w15:restartNumberingAfterBreak="0">
    <w:nsid w:val="2ECA3E92"/>
    <w:multiLevelType w:val="multilevel"/>
    <w:tmpl w:val="F4CE3BC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1" w:hanging="1140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850" w:hanging="1140"/>
      </w:pPr>
      <w:rPr>
        <w:b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302C4151"/>
    <w:multiLevelType w:val="hybridMultilevel"/>
    <w:tmpl w:val="22CE96E6"/>
    <w:lvl w:ilvl="0" w:tplc="898412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7C4A5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E40BBF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F509C6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1965A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C6EE5E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DB0303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1E0D1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EAEA6B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03A5C57"/>
    <w:multiLevelType w:val="hybridMultilevel"/>
    <w:tmpl w:val="8D4C3FFA"/>
    <w:lvl w:ilvl="0" w:tplc="A8AA1A7E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  <w:lvl w:ilvl="1" w:tplc="C69E3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6CBC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CA217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18E7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E93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C437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B28EA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8A1E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0B72C63"/>
    <w:multiLevelType w:val="hybridMultilevel"/>
    <w:tmpl w:val="02E8E460"/>
    <w:lvl w:ilvl="0" w:tplc="E9B092BC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AF4EDDFA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3D0EB5DC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2B827650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5C28F7D2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D86C6426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9108832C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9BB84BD4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51EEA344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30F1403F"/>
    <w:multiLevelType w:val="multilevel"/>
    <w:tmpl w:val="8F8A046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496B8F"/>
    <w:multiLevelType w:val="hybridMultilevel"/>
    <w:tmpl w:val="1B2A9BD2"/>
    <w:lvl w:ilvl="0" w:tplc="661472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4B006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98CC4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8069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CFCD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C004D6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BAFB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70845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DA446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753177A"/>
    <w:multiLevelType w:val="hybridMultilevel"/>
    <w:tmpl w:val="D598B59A"/>
    <w:lvl w:ilvl="0" w:tplc="50729D4E">
      <w:start w:val="1"/>
      <w:numFmt w:val="bullet"/>
      <w:lvlText w:val=""/>
      <w:lvlJc w:val="left"/>
      <w:pPr>
        <w:ind w:left="2439" w:hanging="360"/>
      </w:pPr>
      <w:rPr>
        <w:rFonts w:ascii="Symbol" w:hAnsi="Symbol"/>
      </w:rPr>
    </w:lvl>
    <w:lvl w:ilvl="1" w:tplc="1EBA4D90">
      <w:start w:val="1"/>
      <w:numFmt w:val="bullet"/>
      <w:lvlText w:val="o"/>
      <w:lvlJc w:val="left"/>
      <w:pPr>
        <w:ind w:left="3159" w:hanging="360"/>
      </w:pPr>
      <w:rPr>
        <w:rFonts w:ascii="Courier New" w:eastAsia="Courier New" w:hAnsi="Courier New" w:cs="Courier New" w:hint="default"/>
      </w:rPr>
    </w:lvl>
    <w:lvl w:ilvl="2" w:tplc="EF369CF8">
      <w:start w:val="1"/>
      <w:numFmt w:val="bullet"/>
      <w:lvlText w:val="§"/>
      <w:lvlJc w:val="left"/>
      <w:pPr>
        <w:ind w:left="3879" w:hanging="360"/>
      </w:pPr>
      <w:rPr>
        <w:rFonts w:ascii="Wingdings" w:eastAsia="Wingdings" w:hAnsi="Wingdings" w:cs="Wingdings" w:hint="default"/>
      </w:rPr>
    </w:lvl>
    <w:lvl w:ilvl="3" w:tplc="5052B46E">
      <w:start w:val="1"/>
      <w:numFmt w:val="bullet"/>
      <w:lvlText w:val="·"/>
      <w:lvlJc w:val="left"/>
      <w:pPr>
        <w:ind w:left="4599" w:hanging="360"/>
      </w:pPr>
      <w:rPr>
        <w:rFonts w:ascii="Symbol" w:eastAsia="Symbol" w:hAnsi="Symbol" w:cs="Symbol" w:hint="default"/>
      </w:rPr>
    </w:lvl>
    <w:lvl w:ilvl="4" w:tplc="91B2010A">
      <w:start w:val="1"/>
      <w:numFmt w:val="bullet"/>
      <w:lvlText w:val="o"/>
      <w:lvlJc w:val="left"/>
      <w:pPr>
        <w:ind w:left="5319" w:hanging="360"/>
      </w:pPr>
      <w:rPr>
        <w:rFonts w:ascii="Courier New" w:eastAsia="Courier New" w:hAnsi="Courier New" w:cs="Courier New" w:hint="default"/>
      </w:rPr>
    </w:lvl>
    <w:lvl w:ilvl="5" w:tplc="34668B62">
      <w:start w:val="1"/>
      <w:numFmt w:val="bullet"/>
      <w:lvlText w:val="§"/>
      <w:lvlJc w:val="left"/>
      <w:pPr>
        <w:ind w:left="6039" w:hanging="360"/>
      </w:pPr>
      <w:rPr>
        <w:rFonts w:ascii="Wingdings" w:eastAsia="Wingdings" w:hAnsi="Wingdings" w:cs="Wingdings" w:hint="default"/>
      </w:rPr>
    </w:lvl>
    <w:lvl w:ilvl="6" w:tplc="CFA4812E">
      <w:start w:val="1"/>
      <w:numFmt w:val="bullet"/>
      <w:lvlText w:val="·"/>
      <w:lvlJc w:val="left"/>
      <w:pPr>
        <w:ind w:left="6759" w:hanging="360"/>
      </w:pPr>
      <w:rPr>
        <w:rFonts w:ascii="Symbol" w:eastAsia="Symbol" w:hAnsi="Symbol" w:cs="Symbol" w:hint="default"/>
      </w:rPr>
    </w:lvl>
    <w:lvl w:ilvl="7" w:tplc="5950A7EA">
      <w:start w:val="1"/>
      <w:numFmt w:val="bullet"/>
      <w:lvlText w:val="o"/>
      <w:lvlJc w:val="left"/>
      <w:pPr>
        <w:ind w:left="7479" w:hanging="360"/>
      </w:pPr>
      <w:rPr>
        <w:rFonts w:ascii="Courier New" w:eastAsia="Courier New" w:hAnsi="Courier New" w:cs="Courier New" w:hint="default"/>
      </w:rPr>
    </w:lvl>
    <w:lvl w:ilvl="8" w:tplc="636A6F0A">
      <w:start w:val="1"/>
      <w:numFmt w:val="bullet"/>
      <w:lvlText w:val="§"/>
      <w:lvlJc w:val="left"/>
      <w:pPr>
        <w:ind w:left="819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9664C63"/>
    <w:multiLevelType w:val="hybridMultilevel"/>
    <w:tmpl w:val="7752E2FC"/>
    <w:lvl w:ilvl="0" w:tplc="8E746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1EC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3ADE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C98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66F1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E892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3AB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00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48B1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D11AD"/>
    <w:multiLevelType w:val="hybridMultilevel"/>
    <w:tmpl w:val="8EF00E32"/>
    <w:lvl w:ilvl="0" w:tplc="D7625EA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39EE7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2CE31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AA6A2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EA24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D50F3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124C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EA31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7A11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C9861F7"/>
    <w:multiLevelType w:val="hybridMultilevel"/>
    <w:tmpl w:val="FCA4E482"/>
    <w:lvl w:ilvl="0" w:tplc="CA4ED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5E0B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EAE9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ECA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88A1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C62C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0A2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258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C45B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65B63"/>
    <w:multiLevelType w:val="hybridMultilevel"/>
    <w:tmpl w:val="71E6F700"/>
    <w:lvl w:ilvl="0" w:tplc="64104B1E">
      <w:start w:val="1"/>
      <w:numFmt w:val="bullet"/>
      <w:lvlText w:val=""/>
      <w:lvlJc w:val="left"/>
      <w:pPr>
        <w:ind w:left="709" w:hanging="360"/>
      </w:pPr>
      <w:rPr>
        <w:rFonts w:ascii="Symbol" w:hAnsi="Symbol"/>
      </w:rPr>
    </w:lvl>
    <w:lvl w:ilvl="1" w:tplc="3A3427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73AB3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3CA8E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31C0E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626A0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D627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D48C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94416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5C2726D"/>
    <w:multiLevelType w:val="hybridMultilevel"/>
    <w:tmpl w:val="1A1265EC"/>
    <w:lvl w:ilvl="0" w:tplc="A4666986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B660FBC0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9230B2DA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09A7C26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56F21DD0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28E7962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342CFB62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9DAA0EB0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BFDE216E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 w15:restartNumberingAfterBreak="0">
    <w:nsid w:val="45EB1247"/>
    <w:multiLevelType w:val="hybridMultilevel"/>
    <w:tmpl w:val="E912E0BC"/>
    <w:lvl w:ilvl="0" w:tplc="5128FEE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791EF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CCE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A88D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1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7C5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A20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5205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A6F1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53FC5"/>
    <w:multiLevelType w:val="multilevel"/>
    <w:tmpl w:val="127A5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EEC0B0D"/>
    <w:multiLevelType w:val="hybridMultilevel"/>
    <w:tmpl w:val="671E69CE"/>
    <w:lvl w:ilvl="0" w:tplc="8084CE66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  <w:lvl w:ilvl="1" w:tplc="B8041A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2EB2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6EF6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FCA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A8FD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9CB0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A613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48487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02B5035"/>
    <w:multiLevelType w:val="multilevel"/>
    <w:tmpl w:val="63F4DF3E"/>
    <w:lvl w:ilvl="0">
      <w:start w:val="3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2"/>
      <w:numFmt w:val="decimal"/>
      <w:lvlText w:val="2.%2"/>
      <w:lvlJc w:val="left"/>
      <w:pPr>
        <w:ind w:left="857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7E3C48"/>
    <w:multiLevelType w:val="multilevel"/>
    <w:tmpl w:val="D904092A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62314C"/>
    <w:multiLevelType w:val="hybridMultilevel"/>
    <w:tmpl w:val="BD1A1CB2"/>
    <w:lvl w:ilvl="0" w:tplc="328EE3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DC040CF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EF58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07220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842DF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9A0CD7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7DA35A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94012D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1BA240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E34E78"/>
    <w:multiLevelType w:val="hybridMultilevel"/>
    <w:tmpl w:val="41224B8A"/>
    <w:lvl w:ilvl="0" w:tplc="4B40250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B1226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BD00D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4E280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BE66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38852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3884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C48D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874C6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9CD193F"/>
    <w:multiLevelType w:val="hybridMultilevel"/>
    <w:tmpl w:val="5A0CDD36"/>
    <w:lvl w:ilvl="0" w:tplc="1A6876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33251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318B02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6161E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A5C5FE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4E9D1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72F8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878F84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376B41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C026A1F"/>
    <w:multiLevelType w:val="multilevel"/>
    <w:tmpl w:val="F0C0A6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5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DEB26DA"/>
    <w:multiLevelType w:val="hybridMultilevel"/>
    <w:tmpl w:val="B08EBBEE"/>
    <w:lvl w:ilvl="0" w:tplc="3C061D1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00C4F80"/>
    <w:multiLevelType w:val="hybridMultilevel"/>
    <w:tmpl w:val="75329586"/>
    <w:lvl w:ilvl="0" w:tplc="CABC402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4381E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E8B0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ACB4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E423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8C210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6B8EE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98B5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4AB0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7C04DA0"/>
    <w:multiLevelType w:val="multilevel"/>
    <w:tmpl w:val="F9F4D07A"/>
    <w:styleLink w:val="1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none"/>
      <w:lvlText w:val="5.2.3."/>
      <w:lvlJc w:val="left"/>
      <w:pPr>
        <w:tabs>
          <w:tab w:val="num" w:pos="1680"/>
        </w:tabs>
        <w:ind w:left="1464" w:hanging="504"/>
      </w:pPr>
      <w:rPr>
        <w:rFonts w:cs="Times New Roman" w:hint="default"/>
        <w:b/>
      </w:rPr>
    </w:lvl>
    <w:lvl w:ilvl="3">
      <w:start w:val="1"/>
      <w:numFmt w:val="none"/>
      <w:lvlText w:val="5.2.3.1"/>
      <w:lvlJc w:val="left"/>
      <w:pPr>
        <w:tabs>
          <w:tab w:val="num" w:pos="2160"/>
        </w:tabs>
        <w:ind w:left="1728" w:hanging="648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7A11359E"/>
    <w:multiLevelType w:val="hybridMultilevel"/>
    <w:tmpl w:val="358ED496"/>
    <w:lvl w:ilvl="0" w:tplc="095C86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6AA987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A695B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CE2AA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F8CE5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E0EEC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9BC3D5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8DA7C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0FC3C8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08159D"/>
    <w:multiLevelType w:val="hybridMultilevel"/>
    <w:tmpl w:val="C2F4C4B0"/>
    <w:lvl w:ilvl="0" w:tplc="3586B0F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C06E5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7829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D3228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E7ADD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3CC6C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6A28E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BF03A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B98B5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25"/>
  </w:num>
  <w:num w:numId="3">
    <w:abstractNumId w:val="26"/>
  </w:num>
  <w:num w:numId="4">
    <w:abstractNumId w:val="28"/>
  </w:num>
  <w:num w:numId="5">
    <w:abstractNumId w:val="32"/>
  </w:num>
  <w:num w:numId="6">
    <w:abstractNumId w:val="24"/>
  </w:num>
  <w:num w:numId="7">
    <w:abstractNumId w:val="22"/>
  </w:num>
  <w:num w:numId="8">
    <w:abstractNumId w:val="2"/>
  </w:num>
  <w:num w:numId="9">
    <w:abstractNumId w:val="12"/>
  </w:num>
  <w:num w:numId="10">
    <w:abstractNumId w:val="33"/>
  </w:num>
  <w:num w:numId="11">
    <w:abstractNumId w:val="9"/>
  </w:num>
  <w:num w:numId="12">
    <w:abstractNumId w:val="31"/>
  </w:num>
  <w:num w:numId="13">
    <w:abstractNumId w:val="19"/>
  </w:num>
  <w:num w:numId="14">
    <w:abstractNumId w:val="15"/>
  </w:num>
  <w:num w:numId="15">
    <w:abstractNumId w:val="8"/>
  </w:num>
  <w:num w:numId="16">
    <w:abstractNumId w:val="17"/>
  </w:num>
  <w:num w:numId="17">
    <w:abstractNumId w:val="13"/>
  </w:num>
  <w:num w:numId="18">
    <w:abstractNumId w:val="29"/>
  </w:num>
  <w:num w:numId="19">
    <w:abstractNumId w:val="4"/>
  </w:num>
  <w:num w:numId="20">
    <w:abstractNumId w:val="23"/>
  </w:num>
  <w:num w:numId="21">
    <w:abstractNumId w:val="11"/>
  </w:num>
  <w:num w:numId="22">
    <w:abstractNumId w:val="1"/>
  </w:num>
  <w:num w:numId="23">
    <w:abstractNumId w:val="16"/>
  </w:num>
  <w:num w:numId="24">
    <w:abstractNumId w:val="20"/>
  </w:num>
  <w:num w:numId="25">
    <w:abstractNumId w:val="5"/>
  </w:num>
  <w:num w:numId="26">
    <w:abstractNumId w:val="21"/>
  </w:num>
  <w:num w:numId="27">
    <w:abstractNumId w:val="18"/>
  </w:num>
  <w:num w:numId="28">
    <w:abstractNumId w:val="0"/>
  </w:num>
  <w:num w:numId="29">
    <w:abstractNumId w:val="27"/>
  </w:num>
  <w:num w:numId="30">
    <w:abstractNumId w:val="10"/>
  </w:num>
  <w:num w:numId="31">
    <w:abstractNumId w:val="6"/>
  </w:num>
  <w:num w:numId="32">
    <w:abstractNumId w:val="34"/>
  </w:num>
  <w:num w:numId="33">
    <w:abstractNumId w:val="14"/>
  </w:num>
  <w:num w:numId="34">
    <w:abstractNumId w:val="30"/>
  </w:num>
  <w:num w:numId="35">
    <w:abstractNumId w:val="3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903"/>
    <w:rsid w:val="00003490"/>
    <w:rsid w:val="0005167D"/>
    <w:rsid w:val="000A3714"/>
    <w:rsid w:val="000A64F8"/>
    <w:rsid w:val="000D0DDE"/>
    <w:rsid w:val="000F1E8B"/>
    <w:rsid w:val="00160BBF"/>
    <w:rsid w:val="00165AA2"/>
    <w:rsid w:val="001775FF"/>
    <w:rsid w:val="001C7162"/>
    <w:rsid w:val="002123CE"/>
    <w:rsid w:val="00234589"/>
    <w:rsid w:val="00272D3C"/>
    <w:rsid w:val="00281737"/>
    <w:rsid w:val="00293A19"/>
    <w:rsid w:val="002A44E9"/>
    <w:rsid w:val="002D1C4D"/>
    <w:rsid w:val="0032645F"/>
    <w:rsid w:val="003646A9"/>
    <w:rsid w:val="003E4088"/>
    <w:rsid w:val="0040149E"/>
    <w:rsid w:val="00406A1A"/>
    <w:rsid w:val="00410CC8"/>
    <w:rsid w:val="00427C29"/>
    <w:rsid w:val="00447E91"/>
    <w:rsid w:val="00454854"/>
    <w:rsid w:val="00494489"/>
    <w:rsid w:val="004A5BD3"/>
    <w:rsid w:val="00501991"/>
    <w:rsid w:val="005255EA"/>
    <w:rsid w:val="00534845"/>
    <w:rsid w:val="00540EC7"/>
    <w:rsid w:val="005924C3"/>
    <w:rsid w:val="005E09B7"/>
    <w:rsid w:val="006163AB"/>
    <w:rsid w:val="00632E29"/>
    <w:rsid w:val="006769F7"/>
    <w:rsid w:val="006B423F"/>
    <w:rsid w:val="006C1548"/>
    <w:rsid w:val="006D1CCA"/>
    <w:rsid w:val="006E4063"/>
    <w:rsid w:val="00724EFC"/>
    <w:rsid w:val="007617CC"/>
    <w:rsid w:val="007C7598"/>
    <w:rsid w:val="00806308"/>
    <w:rsid w:val="00863A42"/>
    <w:rsid w:val="00895892"/>
    <w:rsid w:val="008A0DF6"/>
    <w:rsid w:val="00930337"/>
    <w:rsid w:val="009971D2"/>
    <w:rsid w:val="009B13DC"/>
    <w:rsid w:val="009B3ECF"/>
    <w:rsid w:val="009C334A"/>
    <w:rsid w:val="009C3A9D"/>
    <w:rsid w:val="009D7339"/>
    <w:rsid w:val="009E23A3"/>
    <w:rsid w:val="00A001DE"/>
    <w:rsid w:val="00A032D6"/>
    <w:rsid w:val="00A41F71"/>
    <w:rsid w:val="00A44F47"/>
    <w:rsid w:val="00A640E0"/>
    <w:rsid w:val="00A85F63"/>
    <w:rsid w:val="00AA6A1E"/>
    <w:rsid w:val="00AD5A73"/>
    <w:rsid w:val="00B014AD"/>
    <w:rsid w:val="00B45E77"/>
    <w:rsid w:val="00B6571F"/>
    <w:rsid w:val="00B813DA"/>
    <w:rsid w:val="00B94151"/>
    <w:rsid w:val="00BA0673"/>
    <w:rsid w:val="00BD60A2"/>
    <w:rsid w:val="00CA6D41"/>
    <w:rsid w:val="00CD513C"/>
    <w:rsid w:val="00CF1F14"/>
    <w:rsid w:val="00D13262"/>
    <w:rsid w:val="00D25129"/>
    <w:rsid w:val="00D26CBD"/>
    <w:rsid w:val="00D32A94"/>
    <w:rsid w:val="00D678E2"/>
    <w:rsid w:val="00D73D14"/>
    <w:rsid w:val="00DB4E0C"/>
    <w:rsid w:val="00DF3903"/>
    <w:rsid w:val="00E15F93"/>
    <w:rsid w:val="00E268AB"/>
    <w:rsid w:val="00E37F2D"/>
    <w:rsid w:val="00EC2D22"/>
    <w:rsid w:val="00ED4771"/>
    <w:rsid w:val="00EE1816"/>
    <w:rsid w:val="00FA2BB4"/>
    <w:rsid w:val="00FE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85BE6"/>
  <w15:docId w15:val="{A33F0681-94D5-4924-B079-6189F7C3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0"/>
    <w:link w:val="11"/>
    <w:uiPriority w:val="1"/>
    <w:qFormat/>
    <w:pPr>
      <w:ind w:left="1794" w:hanging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pPr>
      <w:keepNext/>
      <w:widowControl/>
      <w:ind w:left="720" w:firstLine="696"/>
      <w:jc w:val="both"/>
      <w:outlineLvl w:val="3"/>
    </w:pPr>
    <w:rPr>
      <w:rFonts w:ascii="Calibri" w:hAnsi="Calibri"/>
      <w:b/>
      <w:sz w:val="28"/>
      <w:szCs w:val="20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a4">
    <w:name w:val="Название объекта Знак"/>
    <w:basedOn w:val="a1"/>
    <w:link w:val="a5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1"/>
    <w:link w:val="ab"/>
    <w:uiPriority w:val="99"/>
  </w:style>
  <w:style w:type="paragraph" w:styleId="ad">
    <w:name w:val="footer"/>
    <w:basedOn w:val="a0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5">
    <w:name w:val="caption"/>
    <w:basedOn w:val="a0"/>
    <w:next w:val="a0"/>
    <w:link w:val="a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0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0"/>
    <w:next w:val="a0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Body Text"/>
    <w:basedOn w:val="a0"/>
    <w:uiPriority w:val="1"/>
    <w:qFormat/>
    <w:pPr>
      <w:ind w:left="378" w:firstLine="707"/>
      <w:jc w:val="both"/>
    </w:pPr>
    <w:rPr>
      <w:sz w:val="24"/>
      <w:szCs w:val="24"/>
    </w:rPr>
  </w:style>
  <w:style w:type="paragraph" w:styleId="af7">
    <w:name w:val="List Paragraph"/>
    <w:basedOn w:val="a0"/>
    <w:link w:val="af8"/>
    <w:uiPriority w:val="34"/>
    <w:qFormat/>
    <w:pPr>
      <w:ind w:left="378" w:firstLine="707"/>
      <w:jc w:val="both"/>
    </w:pPr>
  </w:style>
  <w:style w:type="paragraph" w:customStyle="1" w:styleId="TableParagraph">
    <w:name w:val="Table Paragraph"/>
    <w:basedOn w:val="a0"/>
    <w:uiPriority w:val="1"/>
    <w:qFormat/>
    <w:pPr>
      <w:spacing w:line="270" w:lineRule="exact"/>
    </w:pPr>
  </w:style>
  <w:style w:type="character" w:styleId="af9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e">
    <w:name w:val="Balloon Text"/>
    <w:basedOn w:val="a0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pple-style-span">
    <w:name w:val="apple-style-span"/>
  </w:style>
  <w:style w:type="character" w:customStyle="1" w:styleId="af8">
    <w:name w:val="Абзац списка Знак"/>
    <w:link w:val="af7"/>
    <w:uiPriority w:val="34"/>
    <w:qFormat/>
    <w:rPr>
      <w:rFonts w:ascii="Times New Roman" w:eastAsia="Times New Roman" w:hAnsi="Times New Roman" w:cs="Times New Roman"/>
      <w:lang w:val="ru-RU"/>
    </w:rPr>
  </w:style>
  <w:style w:type="character" w:customStyle="1" w:styleId="40">
    <w:name w:val="Заголовок 4 Знак"/>
    <w:basedOn w:val="a1"/>
    <w:link w:val="4"/>
    <w:uiPriority w:val="99"/>
    <w:rPr>
      <w:rFonts w:ascii="Calibri" w:eastAsia="Times New Roman" w:hAnsi="Calibri" w:cs="Times New Roman"/>
      <w:b/>
      <w:sz w:val="28"/>
      <w:szCs w:val="20"/>
      <w:lang w:val="ru-RU" w:eastAsia="ru-RU"/>
    </w:rPr>
  </w:style>
  <w:style w:type="paragraph" w:customStyle="1" w:styleId="lev2">
    <w:name w:val="lev2"/>
    <w:basedOn w:val="af6"/>
    <w:pPr>
      <w:widowControl/>
      <w:numPr>
        <w:ilvl w:val="1"/>
        <w:numId w:val="1"/>
      </w:numPr>
    </w:pPr>
    <w:rPr>
      <w:color w:val="000000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aff0">
    <w:name w:val="Body Text Indent"/>
    <w:basedOn w:val="a0"/>
    <w:link w:val="aff1"/>
    <w:uiPriority w:val="99"/>
    <w:unhideWhenUsed/>
    <w:pPr>
      <w:spacing w:after="120"/>
      <w:ind w:left="283"/>
    </w:pPr>
  </w:style>
  <w:style w:type="character" w:customStyle="1" w:styleId="aff1">
    <w:name w:val="Основной текст с отступом Знак"/>
    <w:basedOn w:val="a1"/>
    <w:link w:val="aff0"/>
    <w:uiPriority w:val="99"/>
    <w:rPr>
      <w:rFonts w:ascii="Times New Roman" w:eastAsia="Times New Roman" w:hAnsi="Times New Roman" w:cs="Times New Roman"/>
      <w:lang w:val="ru-RU"/>
    </w:rPr>
  </w:style>
  <w:style w:type="paragraph" w:customStyle="1" w:styleId="a">
    <w:name w:val="Оглавление!!!!"/>
    <w:basedOn w:val="af7"/>
    <w:link w:val="aff2"/>
    <w:qFormat/>
    <w:pPr>
      <w:widowControl/>
      <w:numPr>
        <w:numId w:val="2"/>
      </w:numPr>
      <w:contextualSpacing/>
      <w:jc w:val="left"/>
    </w:pPr>
    <w:rPr>
      <w:rFonts w:eastAsia="Calibri"/>
      <w:b/>
      <w:sz w:val="28"/>
      <w:szCs w:val="28"/>
      <w:lang w:eastAsia="ru-RU"/>
    </w:rPr>
  </w:style>
  <w:style w:type="character" w:customStyle="1" w:styleId="aff2">
    <w:name w:val="Оглавление!!!! Знак"/>
    <w:link w:val="a"/>
    <w:rPr>
      <w:rFonts w:ascii="Times New Roman" w:eastAsia="Calibri" w:hAnsi="Times New Roman" w:cs="Times New Roman"/>
      <w:b/>
      <w:sz w:val="28"/>
      <w:szCs w:val="28"/>
      <w:lang w:val="ru-RU" w:eastAsia="ru-RU"/>
    </w:r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f3">
    <w:name w:val="Title"/>
    <w:basedOn w:val="a0"/>
    <w:link w:val="aff4"/>
    <w:uiPriority w:val="10"/>
    <w:qFormat/>
    <w:pPr>
      <w:jc w:val="center"/>
    </w:pPr>
    <w:rPr>
      <w:rFonts w:ascii="Cambria" w:hAnsi="Cambria"/>
      <w:b/>
      <w:sz w:val="32"/>
      <w:szCs w:val="20"/>
      <w:lang w:eastAsia="ru-RU"/>
    </w:rPr>
  </w:style>
  <w:style w:type="character" w:customStyle="1" w:styleId="aff4">
    <w:name w:val="Заголовок Знак"/>
    <w:basedOn w:val="a1"/>
    <w:link w:val="aff3"/>
    <w:uiPriority w:val="10"/>
    <w:rPr>
      <w:rFonts w:ascii="Cambria" w:eastAsia="Times New Roman" w:hAnsi="Cambria" w:cs="Times New Roman"/>
      <w:b/>
      <w:sz w:val="32"/>
      <w:szCs w:val="20"/>
      <w:lang w:val="ru-RU" w:eastAsia="ru-RU"/>
    </w:rPr>
  </w:style>
  <w:style w:type="character" w:styleId="aff5">
    <w:name w:val="footnote reference"/>
    <w:basedOn w:val="a1"/>
    <w:uiPriority w:val="99"/>
    <w:rPr>
      <w:rFonts w:cs="Times New Roman"/>
      <w:vertAlign w:val="superscript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35">
    <w:name w:val="Body Text Indent 3"/>
    <w:basedOn w:val="a0"/>
    <w:link w:val="36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25">
    <w:name w:val="Body Text 2"/>
    <w:basedOn w:val="a0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Pr>
      <w:rFonts w:ascii="Times New Roman" w:eastAsia="Times New Roman" w:hAnsi="Times New Roman" w:cs="Times New Roman"/>
      <w:lang w:val="ru-RU"/>
    </w:rPr>
  </w:style>
  <w:style w:type="paragraph" w:styleId="aff6">
    <w:name w:val="footnote text"/>
    <w:basedOn w:val="a0"/>
    <w:link w:val="aff7"/>
    <w:uiPriority w:val="99"/>
    <w:rPr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uiPriority w:val="9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43">
    <w:name w:val="Основной текст4"/>
    <w:basedOn w:val="a0"/>
    <w:pPr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  <w:lang w:eastAsia="ru-RU"/>
    </w:rPr>
  </w:style>
  <w:style w:type="paragraph" w:customStyle="1" w:styleId="310">
    <w:name w:val="Основной текст с отступом 31"/>
    <w:basedOn w:val="a0"/>
    <w:pPr>
      <w:widowControl/>
      <w:ind w:firstLine="709"/>
    </w:pPr>
    <w:rPr>
      <w:sz w:val="26"/>
      <w:szCs w:val="20"/>
      <w:lang w:eastAsia="ar-SA"/>
    </w:rPr>
  </w:style>
  <w:style w:type="numbering" w:customStyle="1" w:styleId="1">
    <w:name w:val="Стиль1"/>
    <w:uiPriority w:val="99"/>
    <w:pPr>
      <w:numPr>
        <w:numId w:val="5"/>
      </w:numPr>
    </w:pPr>
  </w:style>
  <w:style w:type="paragraph" w:styleId="aff8">
    <w:name w:val="Revision"/>
    <w:hidden/>
    <w:uiPriority w:val="99"/>
    <w:semiHidden/>
    <w:pPr>
      <w:widowControl/>
    </w:pPr>
    <w:rPr>
      <w:rFonts w:ascii="Times New Roman" w:eastAsia="Times New Roman" w:hAnsi="Times New Roman" w:cs="Times New Roman"/>
      <w:lang w:val="ru-RU"/>
    </w:rPr>
  </w:style>
  <w:style w:type="paragraph" w:customStyle="1" w:styleId="210">
    <w:name w:val="Основной текст с отступом 21"/>
    <w:basedOn w:val="a0"/>
    <w:pPr>
      <w:widowControl/>
      <w:ind w:left="5040"/>
    </w:pPr>
    <w:rPr>
      <w:sz w:val="24"/>
      <w:szCs w:val="20"/>
      <w:lang w:eastAsia="ar-SA"/>
    </w:rPr>
  </w:style>
  <w:style w:type="paragraph" w:customStyle="1" w:styleId="ListParagraph11UL1Table-NormalRSHBTable-NormalSubtleEmphasishead5-31ListParagraphBulletIRAO3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;3_Абзац списка"/>
    <w:basedOn w:val="a0"/>
    <w:link w:val="ListParagraph11UL1Table-NormalRSHBTable-NormalSubtleEmphasishead5ListParagraph"/>
    <w:uiPriority w:val="34"/>
    <w:qFormat/>
    <w:pPr>
      <w:widowControl/>
      <w:ind w:left="708"/>
    </w:pPr>
    <w:rPr>
      <w:sz w:val="20"/>
      <w:szCs w:val="20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3"/>
    <w:uiPriority w:val="3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styleId="aff9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customStyle="1" w:styleId="FontStyle20">
    <w:name w:val="Font Style20"/>
    <w:rPr>
      <w:rFonts w:ascii="Times New Roman" w:hAnsi="Times New Roman" w:cs="Times New Roman" w:hint="default"/>
      <w:sz w:val="22"/>
    </w:rPr>
  </w:style>
  <w:style w:type="character" w:customStyle="1" w:styleId="fontstyle01">
    <w:name w:val="fontstyle01"/>
    <w:basedOn w:val="a1"/>
    <w:rsid w:val="00EC2D2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68811" TargetMode="External"/><Relationship Id="rId13" Type="http://schemas.openxmlformats.org/officeDocument/2006/relationships/hyperlink" Target="kodeks://link/d?nd=1200108858" TargetMode="External"/><Relationship Id="rId18" Type="http://schemas.openxmlformats.org/officeDocument/2006/relationships/hyperlink" Target="kodeks://link/d?nd=350414437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1310667825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1200173797" TargetMode="External"/><Relationship Id="rId17" Type="http://schemas.openxmlformats.org/officeDocument/2006/relationships/hyperlink" Target="kodeks://link/d?nd=727786028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1200003114" TargetMode="External"/><Relationship Id="rId20" Type="http://schemas.openxmlformats.org/officeDocument/2006/relationships/hyperlink" Target="kodeks://link/d?nd=12000031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16881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542616931" TargetMode="External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kodeks://link/d?nd=1200168811" TargetMode="External"/><Relationship Id="rId19" Type="http://schemas.openxmlformats.org/officeDocument/2006/relationships/hyperlink" Target="kodeks://link/d?nd=120000311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168811" TargetMode="External"/><Relationship Id="rId14" Type="http://schemas.openxmlformats.org/officeDocument/2006/relationships/hyperlink" Target="kodeks://link/d?nd=1200108858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BD79B-7A1E-44EF-A040-2D680C68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31</Pages>
  <Words>13208</Words>
  <Characters>75288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Бредихин Александр Сергеевич</dc:creator>
  <cp:lastModifiedBy>Симанин Алексей Игоревич</cp:lastModifiedBy>
  <cp:revision>14</cp:revision>
  <cp:lastPrinted>2026-05-25T13:34:00Z</cp:lastPrinted>
  <dcterms:created xsi:type="dcterms:W3CDTF">2026-04-15T15:02:00Z</dcterms:created>
  <dcterms:modified xsi:type="dcterms:W3CDTF">2026-05-25T13:34:00Z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2021-09-10T00:00:00Z</vt:filetime>
  </property>
</Properties>
</file>